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宋体" w:hAnsi="宋体" w:eastAsia="宋体" w:cs="Arial"/>
          <w:b/>
          <w:bCs/>
          <w:color w:val="auto"/>
          <w:sz w:val="36"/>
          <w:szCs w:val="36"/>
          <w:highlight w:val="none"/>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w:t>
      </w:r>
      <w:r>
        <w:rPr>
          <w:rFonts w:hint="eastAsia" w:ascii="黑体" w:hAnsi="黑体" w:eastAsia="黑体" w:cs="黑体"/>
          <w:b/>
          <w:bCs/>
          <w:color w:val="auto"/>
          <w:sz w:val="40"/>
          <w:szCs w:val="40"/>
          <w:highlight w:val="none"/>
          <w:lang w:val="en-US" w:eastAsia="zh-CN"/>
        </w:rPr>
        <w:t>中央</w:t>
      </w:r>
      <w:r>
        <w:rPr>
          <w:rFonts w:hint="eastAsia" w:ascii="黑体" w:hAnsi="黑体" w:eastAsia="黑体" w:cs="黑体"/>
          <w:b/>
          <w:bCs/>
          <w:color w:val="auto"/>
          <w:sz w:val="40"/>
          <w:szCs w:val="40"/>
          <w:highlight w:val="none"/>
        </w:rPr>
        <w:t>困难群众救助补助资金项目支出绩效评价报告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pStyle w:val="5"/>
        <w:rPr>
          <w:color w:val="auto"/>
          <w:highlight w:val="none"/>
        </w:rPr>
      </w:pPr>
    </w:p>
    <w:p>
      <w:pPr>
        <w:spacing w:line="360" w:lineRule="auto"/>
        <w:ind w:firstLine="600"/>
        <w:rPr>
          <w:rFonts w:hint="eastAsia" w:ascii="黑体" w:eastAsia="黑体"/>
          <w:color w:val="auto"/>
          <w:sz w:val="32"/>
          <w:szCs w:val="32"/>
          <w:highlight w:val="none"/>
        </w:rPr>
      </w:pPr>
      <w:r>
        <w:rPr>
          <w:rFonts w:hint="eastAsia" w:ascii="黑体" w:eastAsia="黑体"/>
          <w:color w:val="auto"/>
          <w:sz w:val="32"/>
          <w:szCs w:val="32"/>
          <w:highlight w:val="none"/>
        </w:rPr>
        <w:t>项目名称：202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中央</w:t>
      </w:r>
      <w:r>
        <w:rPr>
          <w:rFonts w:hint="eastAsia" w:ascii="黑体" w:eastAsia="黑体"/>
          <w:color w:val="auto"/>
          <w:sz w:val="32"/>
          <w:szCs w:val="32"/>
          <w:highlight w:val="none"/>
        </w:rPr>
        <w:t>困难群众救助补助资金项目</w:t>
      </w:r>
    </w:p>
    <w:p>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托克逊县人民政府民政局</w:t>
      </w:r>
    </w:p>
    <w:p>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迪力夏提江·赛瓦都力</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spacing w:line="240" w:lineRule="atLeast"/>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w:t>
      </w:r>
      <w:r>
        <w:rPr>
          <w:rFonts w:hint="eastAsia" w:ascii="黑体" w:hAnsi="黑体" w:eastAsia="黑体" w:cs="黑体"/>
          <w:b/>
          <w:bCs/>
          <w:color w:val="auto"/>
          <w:sz w:val="36"/>
          <w:szCs w:val="36"/>
          <w:highlight w:val="none"/>
          <w:lang w:val="en-US" w:eastAsia="zh-CN"/>
        </w:rPr>
        <w:t>3</w:t>
      </w:r>
      <w:r>
        <w:rPr>
          <w:rFonts w:hint="eastAsia" w:ascii="黑体" w:hAnsi="黑体" w:eastAsia="黑体" w:cs="黑体"/>
          <w:b/>
          <w:bCs/>
          <w:color w:val="auto"/>
          <w:sz w:val="36"/>
          <w:szCs w:val="36"/>
          <w:highlight w:val="none"/>
        </w:rPr>
        <w:t>年</w:t>
      </w:r>
      <w:r>
        <w:rPr>
          <w:rFonts w:hint="eastAsia" w:ascii="黑体" w:hAnsi="黑体" w:eastAsia="黑体" w:cs="黑体"/>
          <w:b/>
          <w:bCs/>
          <w:color w:val="auto"/>
          <w:sz w:val="36"/>
          <w:szCs w:val="36"/>
          <w:highlight w:val="none"/>
          <w:lang w:val="en-US" w:eastAsia="zh-CN"/>
        </w:rPr>
        <w:t>中央</w:t>
      </w:r>
      <w:r>
        <w:rPr>
          <w:rFonts w:hint="eastAsia" w:ascii="黑体" w:hAnsi="黑体" w:eastAsia="黑体" w:cs="黑体"/>
          <w:b/>
          <w:bCs/>
          <w:color w:val="auto"/>
          <w:sz w:val="36"/>
          <w:szCs w:val="36"/>
          <w:highlight w:val="none"/>
        </w:rPr>
        <w:t>困难群众救助补助资金项目支出绩效</w:t>
      </w:r>
    </w:p>
    <w:p>
      <w:pP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评价报告</w:t>
      </w:r>
    </w:p>
    <w:p>
      <w:pPr>
        <w:pStyle w:val="3"/>
        <w:ind w:firstLine="640"/>
        <w:rPr>
          <w:color w:val="auto"/>
          <w:highlight w:val="none"/>
        </w:rPr>
      </w:pPr>
      <w:r>
        <w:rPr>
          <w:rFonts w:hint="eastAsia"/>
          <w:color w:val="auto"/>
          <w:highlight w:val="none"/>
        </w:rPr>
        <w:t>一、基本情况</w:t>
      </w:r>
    </w:p>
    <w:p>
      <w:pPr>
        <w:pStyle w:val="5"/>
        <w:ind w:firstLine="562"/>
        <w:rPr>
          <w:color w:val="auto"/>
          <w:highlight w:val="none"/>
        </w:rPr>
      </w:pPr>
      <w:r>
        <w:rPr>
          <w:rFonts w:hint="eastAsia"/>
          <w:color w:val="auto"/>
          <w:highlight w:val="none"/>
        </w:rPr>
        <w:t>1.项目背景</w:t>
      </w:r>
    </w:p>
    <w:p>
      <w:pPr>
        <w:pStyle w:val="4"/>
        <w:ind w:firstLine="643"/>
        <w:rPr>
          <w:color w:val="auto"/>
          <w:highlight w:val="none"/>
        </w:rPr>
      </w:pPr>
      <w:r>
        <w:rPr>
          <w:rFonts w:hint="eastAsia"/>
          <w:color w:val="auto"/>
          <w:highlight w:val="none"/>
        </w:rPr>
        <w:t>（一）项目概况</w:t>
      </w:r>
    </w:p>
    <w:p>
      <w:pPr>
        <w:spacing w:line="360" w:lineRule="auto"/>
        <w:ind w:firstLine="548" w:firstLineChars="196"/>
        <w:rPr>
          <w:rFonts w:hint="eastAsia" w:ascii="仿宋_GB2312" w:hAnsi="仿宋_GB2312" w:eastAsia="仿宋_GB2312" w:cs="Times New Roman"/>
          <w:b w:val="0"/>
          <w:bCs w:val="0"/>
          <w:color w:val="auto"/>
          <w:kern w:val="0"/>
          <w:sz w:val="28"/>
          <w:szCs w:val="32"/>
          <w:highlight w:val="none"/>
          <w:lang w:val="zh-CN"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困难群众基本生活的衣食冷暖，是一项保民生、促公平的托底性、基础性制度安排。</w:t>
      </w:r>
      <w:r>
        <w:rPr>
          <w:rFonts w:hint="eastAsia" w:ascii="仿宋_GB2312" w:hAnsi="仿宋_GB2312" w:eastAsia="仿宋_GB2312" w:cs="Times New Roman"/>
          <w:b w:val="0"/>
          <w:bCs w:val="0"/>
          <w:color w:val="auto"/>
          <w:kern w:val="0"/>
          <w:sz w:val="28"/>
          <w:szCs w:val="32"/>
          <w:highlight w:val="none"/>
          <w:lang w:val="zh-CN" w:eastAsia="zh-CN" w:bidi="ar-SA"/>
        </w:rPr>
        <w:t>根据新疆维吾尔自治区民政厅《关于印发〈关于进一步加强困难群众救助工作〉的通知》（新民发[20</w:t>
      </w:r>
      <w:r>
        <w:rPr>
          <w:rFonts w:hint="eastAsia" w:ascii="仿宋_GB2312" w:hAnsi="仿宋_GB2312" w:eastAsia="仿宋_GB2312" w:cs="Times New Roman"/>
          <w:b w:val="0"/>
          <w:bCs w:val="0"/>
          <w:color w:val="auto"/>
          <w:kern w:val="0"/>
          <w:sz w:val="28"/>
          <w:szCs w:val="32"/>
          <w:highlight w:val="none"/>
          <w:lang w:val="en-US" w:eastAsia="zh-CN" w:bidi="ar-SA"/>
        </w:rPr>
        <w:t>20</w:t>
      </w:r>
      <w:r>
        <w:rPr>
          <w:rFonts w:hint="eastAsia" w:ascii="仿宋_GB2312" w:hAnsi="仿宋_GB2312" w:eastAsia="仿宋_GB2312" w:cs="Times New Roman"/>
          <w:b w:val="0"/>
          <w:bCs w:val="0"/>
          <w:color w:val="auto"/>
          <w:kern w:val="0"/>
          <w:sz w:val="28"/>
          <w:szCs w:val="32"/>
          <w:highlight w:val="none"/>
          <w:lang w:val="zh-CN" w:eastAsia="zh-CN" w:bidi="ar-SA"/>
        </w:rPr>
        <w:t>]6</w:t>
      </w:r>
      <w:r>
        <w:rPr>
          <w:rFonts w:hint="eastAsia" w:ascii="仿宋_GB2312" w:hAnsi="仿宋_GB2312" w:eastAsia="仿宋_GB2312" w:cs="Times New Roman"/>
          <w:b w:val="0"/>
          <w:bCs w:val="0"/>
          <w:color w:val="auto"/>
          <w:kern w:val="0"/>
          <w:sz w:val="28"/>
          <w:szCs w:val="32"/>
          <w:highlight w:val="none"/>
          <w:lang w:val="en-US" w:eastAsia="zh-CN" w:bidi="ar-SA"/>
        </w:rPr>
        <w:t>0</w:t>
      </w:r>
      <w:r>
        <w:rPr>
          <w:rFonts w:hint="eastAsia" w:ascii="仿宋_GB2312" w:hAnsi="仿宋_GB2312" w:eastAsia="仿宋_GB2312" w:cs="Times New Roman"/>
          <w:b w:val="0"/>
          <w:bCs w:val="0"/>
          <w:color w:val="auto"/>
          <w:kern w:val="0"/>
          <w:sz w:val="28"/>
          <w:szCs w:val="32"/>
          <w:highlight w:val="none"/>
          <w:lang w:val="zh-CN" w:eastAsia="zh-CN" w:bidi="ar-SA"/>
        </w:rPr>
        <w:t>号）、新疆维吾尔自治区民政厅、新疆维吾尔自治区扶贫开发办公室《关于印发〈自治区社会救助兜底脱贫行动实施方案〉的通知》（新民发[20</w:t>
      </w:r>
      <w:r>
        <w:rPr>
          <w:rFonts w:hint="eastAsia" w:ascii="仿宋_GB2312" w:hAnsi="仿宋_GB2312" w:eastAsia="仿宋_GB2312" w:cs="Times New Roman"/>
          <w:b w:val="0"/>
          <w:bCs w:val="0"/>
          <w:color w:val="auto"/>
          <w:kern w:val="0"/>
          <w:sz w:val="28"/>
          <w:szCs w:val="32"/>
          <w:highlight w:val="none"/>
          <w:lang w:val="en-US" w:eastAsia="zh-CN" w:bidi="ar-SA"/>
        </w:rPr>
        <w:t>20</w:t>
      </w:r>
      <w:r>
        <w:rPr>
          <w:rFonts w:hint="eastAsia" w:ascii="仿宋_GB2312" w:hAnsi="仿宋_GB2312" w:eastAsia="仿宋_GB2312" w:cs="Times New Roman"/>
          <w:b w:val="0"/>
          <w:bCs w:val="0"/>
          <w:color w:val="auto"/>
          <w:kern w:val="0"/>
          <w:sz w:val="28"/>
          <w:szCs w:val="32"/>
          <w:highlight w:val="none"/>
          <w:lang w:val="zh-CN" w:eastAsia="zh-CN" w:bidi="ar-SA"/>
        </w:rPr>
        <w:t>]</w:t>
      </w:r>
      <w:r>
        <w:rPr>
          <w:rFonts w:hint="eastAsia" w:ascii="仿宋_GB2312" w:hAnsi="仿宋_GB2312" w:eastAsia="仿宋_GB2312" w:cs="Times New Roman"/>
          <w:b w:val="0"/>
          <w:bCs w:val="0"/>
          <w:color w:val="auto"/>
          <w:kern w:val="0"/>
          <w:sz w:val="28"/>
          <w:szCs w:val="32"/>
          <w:highlight w:val="none"/>
          <w:lang w:val="en-US" w:eastAsia="zh-CN" w:bidi="ar-SA"/>
        </w:rPr>
        <w:t>26</w:t>
      </w:r>
      <w:r>
        <w:rPr>
          <w:rFonts w:hint="eastAsia" w:ascii="仿宋_GB2312" w:hAnsi="仿宋_GB2312" w:eastAsia="仿宋_GB2312" w:cs="Times New Roman"/>
          <w:b w:val="0"/>
          <w:bCs w:val="0"/>
          <w:color w:val="auto"/>
          <w:kern w:val="0"/>
          <w:sz w:val="28"/>
          <w:szCs w:val="32"/>
          <w:highlight w:val="none"/>
          <w:lang w:val="zh-CN" w:eastAsia="zh-CN" w:bidi="ar-SA"/>
        </w:rPr>
        <w:t>号）文件精神，</w:t>
      </w:r>
      <w:r>
        <w:rPr>
          <w:rFonts w:hint="eastAsia" w:ascii="仿宋_GB2312" w:hAnsi="仿宋_GB2312" w:eastAsia="仿宋_GB2312" w:cs="Times New Roman"/>
          <w:b w:val="0"/>
          <w:bCs w:val="0"/>
          <w:color w:val="auto"/>
          <w:kern w:val="0"/>
          <w:sz w:val="28"/>
          <w:szCs w:val="32"/>
          <w:highlight w:val="none"/>
          <w:lang w:val="en-US" w:eastAsia="zh-CN" w:bidi="ar-SA"/>
        </w:rPr>
        <w:t>我局紧扣全县扶贫工作大局，找准自身职能定位，充分发挥民政兜底保障和救助救济一批的作用，多措并举助推我县精准扶贫和社会救助工作，全县社会救助工作稳步发展，社会救助整体水平显著提升。通过不断完善制度、规范管理、加大投入，全面推进农村低保与扶贫开发政策相衔接，确保各项社会救助政策全面落实，切实保障了困难群众的基本生活。</w:t>
      </w:r>
    </w:p>
    <w:p>
      <w:pPr>
        <w:pStyle w:val="5"/>
        <w:ind w:firstLine="562"/>
        <w:rPr>
          <w:color w:val="auto"/>
          <w:highlight w:val="none"/>
        </w:rPr>
      </w:pPr>
      <w:r>
        <w:rPr>
          <w:rFonts w:hint="eastAsia"/>
          <w:color w:val="auto"/>
          <w:highlight w:val="none"/>
        </w:rPr>
        <w:t>2.项目实施主体</w:t>
      </w:r>
    </w:p>
    <w:p>
      <w:pPr>
        <w:ind w:firstLine="562"/>
        <w:rPr>
          <w:rFonts w:hint="eastAsia"/>
          <w:b/>
          <w:color w:val="auto"/>
          <w:highlight w:val="none"/>
        </w:rPr>
      </w:pPr>
      <w:r>
        <w:rPr>
          <w:rFonts w:hint="eastAsia"/>
          <w:b/>
          <w:color w:val="auto"/>
          <w:highlight w:val="none"/>
        </w:rPr>
        <w:t>（1）单位职能</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贯彻执行国家、自治区、市（县）关于民政工作的法律、法规、规章、政策；拟订民政事业发展规划并组织实施。</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拟定和实施县社会福利事业发展规划，推动社会化服务体系的建立和发展。负责老年人、孤儿、弃婴（儿童）、农村五保户等特殊困难群体的资格认定及权益保护的行政管理及老年人权益保护工作。拟定残障福利发展政策和标准。</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贯彻国家和自治区社会团体管理法规，负责全县社会团体的审批、登记、报批工作，并依法进行监督检查管理。负责各类社会团体的登记管理工作，对社会团体的财务收支和活动情况进行监督，查处社会团体和基金会的违法行为。</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指导县城乡基层政权和基层群众自治组织建设，指导村民委员会民主选举、民主决策、民主管理和民主监督工作，推动村务公开和基层民主政治建设。</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承办县行政区划工作，研究和修订县行政区划规划。负责乡、村行政区域的设立、撤销、调整、更名、界线变更及政府驻地迁移的审核报批。承办与毗邻县、市的边界线勘界工作。负责县行政区域边界线的勘界和管理工作，协调处理县内边界争议和纠纷。贯彻国家、自治区和地区法规，规划县地名标志的设置和管理工作。</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负责婚姻登记、婚姻服务机构、婚姻介绍机构、儿童收养管理、殡葬管理等工作，依法指导妇女儿童权益保护工作，积极倡导婚姻习俗改革。</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负责对县农村“五保户”人员的认定，集中供养农村“五保户”老人的衣、食、住、医疗、丧葬等工作。负责收养全县农村“三无人员”老人，对其在衣、食、住、行上给予全面养护。</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落实生活无着的流浪、乞讨人员的救助及家庭生活贫困精神病患者的收治工作。</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负责县福利有奖募捐工作，管理本级福利资金。</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 xml:space="preserve">负责县最低生活保障工作。建立和实践城乡居民最低生活保障制度，落实保障资金，监督城乡最低生活保障金的发放。 </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负责全县各单位所属或挂靠的民办非企业单位的登记管理和年检工作，规范财务、收费管理办法，查处民办非企业单位的违法行为和未经登记而以民办非企业单位名义开展活动的非法组织。指导城市居民委员会建设，制定社区工作及社区服务管理办法，推动社区建设。</w:t>
      </w:r>
    </w:p>
    <w:p>
      <w:pPr>
        <w:pStyle w:val="10"/>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560" w:firstLineChars="200"/>
        <w:jc w:val="left"/>
        <w:textAlignment w:val="auto"/>
        <w:outlineLvl w:val="9"/>
        <w:rPr>
          <w:color w:val="auto"/>
          <w:highlight w:val="none"/>
        </w:rPr>
      </w:pPr>
      <w:r>
        <w:rPr>
          <w:rFonts w:hint="eastAsia" w:ascii="仿宋_GB2312" w:hAnsi="仿宋_GB2312" w:eastAsia="仿宋_GB2312" w:cs="Times New Roman"/>
          <w:b w:val="0"/>
          <w:bCs w:val="0"/>
          <w:color w:val="auto"/>
          <w:kern w:val="0"/>
          <w:sz w:val="28"/>
          <w:szCs w:val="32"/>
          <w:highlight w:val="none"/>
          <w:lang w:val="en-US" w:eastAsia="zh-CN" w:bidi="ar-SA"/>
        </w:rPr>
        <w:t>完成县委、县人民政府交办的其他任务。</w:t>
      </w:r>
    </w:p>
    <w:p>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numPr>
          <w:ilvl w:val="0"/>
          <w:numId w:val="2"/>
        </w:numPr>
        <w:ind w:left="0" w:leftChars="0" w:firstLine="560" w:firstLineChars="200"/>
        <w:rPr>
          <w:rFonts w:hint="eastAsia" w:ascii="Times New Roman" w:hAnsi="Times New Roman" w:cs="Times New Roman"/>
          <w:color w:val="auto"/>
          <w:highlight w:val="none"/>
          <w:lang w:val="zh-CN" w:eastAsia="zh-CN"/>
        </w:rPr>
      </w:pPr>
      <w:r>
        <w:rPr>
          <w:rFonts w:hint="eastAsia" w:ascii="Times New Roman" w:hAnsi="Times New Roman" w:cs="Times New Roman"/>
          <w:color w:val="auto"/>
          <w:highlight w:val="none"/>
          <w:lang w:val="en-US" w:eastAsia="zh-CN"/>
        </w:rPr>
        <w:t>机构情况，包括当年变动情况及原因。</w:t>
      </w:r>
      <w:r>
        <w:rPr>
          <w:rFonts w:hint="eastAsia" w:ascii="Times New Roman" w:hAnsi="Times New Roman" w:cs="Times New Roman"/>
          <w:color w:val="auto"/>
          <w:highlight w:val="none"/>
          <w:lang w:val="zh-CN" w:eastAsia="zh-CN"/>
        </w:rPr>
        <w:t>托克逊县民政局下属一家二级预算单位为托克逊县婚姻登记服务中心。内设机构有</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val="zh-CN" w:eastAsia="zh-CN"/>
        </w:rPr>
        <w:t>个，即：办公室、社会救助管理科。</w:t>
      </w:r>
    </w:p>
    <w:p>
      <w:pPr>
        <w:numPr>
          <w:ilvl w:val="0"/>
          <w:numId w:val="2"/>
        </w:numPr>
        <w:ind w:left="0" w:leftChars="0" w:firstLine="56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人员情况，包括当年变动情况及原因。</w:t>
      </w:r>
      <w:r>
        <w:rPr>
          <w:rFonts w:hint="eastAsia" w:ascii="Times New Roman" w:hAnsi="Times New Roman" w:cs="Times New Roman"/>
          <w:color w:val="auto"/>
          <w:highlight w:val="none"/>
          <w:lang w:val="zh-CN" w:eastAsia="zh-CN"/>
        </w:rPr>
        <w:t>本部门中，行政单位</w:t>
      </w:r>
      <w:r>
        <w:rPr>
          <w:rFonts w:hint="eastAsia" w:ascii="Times New Roman" w:hAnsi="Times New Roman" w:cs="Times New Roman"/>
          <w:color w:val="auto"/>
          <w:highlight w:val="none"/>
          <w:lang w:val="en-US" w:eastAsia="zh-CN"/>
        </w:rPr>
        <w:t>1</w:t>
      </w:r>
      <w:r>
        <w:rPr>
          <w:rFonts w:hint="eastAsia" w:ascii="Times New Roman" w:hAnsi="Times New Roman" w:cs="Times New Roman"/>
          <w:color w:val="auto"/>
          <w:highlight w:val="none"/>
          <w:lang w:val="zh-CN" w:eastAsia="zh-CN"/>
        </w:rPr>
        <w:t>家，参公管理事业单位</w:t>
      </w:r>
      <w:r>
        <w:rPr>
          <w:rFonts w:hint="eastAsia" w:ascii="Times New Roman" w:hAnsi="Times New Roman" w:cs="Times New Roman"/>
          <w:color w:val="auto"/>
          <w:highlight w:val="none"/>
          <w:lang w:val="en-US" w:eastAsia="zh-CN"/>
        </w:rPr>
        <w:t>1</w:t>
      </w:r>
      <w:r>
        <w:rPr>
          <w:rFonts w:hint="eastAsia" w:ascii="Times New Roman" w:hAnsi="Times New Roman" w:cs="Times New Roman"/>
          <w:color w:val="auto"/>
          <w:highlight w:val="none"/>
          <w:lang w:val="zh-CN" w:eastAsia="zh-CN"/>
        </w:rPr>
        <w:t>家。托克逊县人民政府民政局编制数：</w:t>
      </w:r>
      <w:r>
        <w:rPr>
          <w:rFonts w:hint="eastAsia" w:ascii="Times New Roman" w:hAnsi="Times New Roman" w:cs="Times New Roman"/>
          <w:color w:val="auto"/>
          <w:highlight w:val="none"/>
          <w:lang w:val="en-US" w:eastAsia="zh-CN"/>
        </w:rPr>
        <w:t>6个</w:t>
      </w:r>
      <w:r>
        <w:rPr>
          <w:rFonts w:hint="eastAsia" w:ascii="Times New Roman" w:hAnsi="Times New Roman" w:cs="Times New Roman"/>
          <w:color w:val="auto"/>
          <w:highlight w:val="none"/>
          <w:lang w:val="zh-CN" w:eastAsia="zh-CN"/>
        </w:rPr>
        <w:t>，实有人数</w:t>
      </w:r>
      <w:r>
        <w:rPr>
          <w:rFonts w:hint="eastAsia" w:ascii="Times New Roman" w:hAnsi="Times New Roman" w:cs="Times New Roman"/>
          <w:color w:val="auto"/>
          <w:highlight w:val="none"/>
          <w:lang w:val="en-US" w:eastAsia="zh-CN"/>
        </w:rPr>
        <w:t>6</w:t>
      </w:r>
      <w:r>
        <w:rPr>
          <w:rFonts w:hint="eastAsia" w:ascii="Times New Roman" w:hAnsi="Times New Roman" w:cs="Times New Roman"/>
          <w:color w:val="auto"/>
          <w:highlight w:val="none"/>
          <w:lang w:val="zh-CN" w:eastAsia="zh-CN"/>
        </w:rPr>
        <w:t>人，参公管理事业单位</w:t>
      </w:r>
      <w:r>
        <w:rPr>
          <w:rFonts w:hint="eastAsia" w:ascii="Times New Roman" w:hAnsi="Times New Roman" w:cs="Times New Roman"/>
          <w:color w:val="auto"/>
          <w:highlight w:val="none"/>
          <w:lang w:val="en-US" w:eastAsia="zh-CN"/>
        </w:rPr>
        <w:t>1</w:t>
      </w:r>
      <w:r>
        <w:rPr>
          <w:rFonts w:hint="eastAsia" w:ascii="Times New Roman" w:hAnsi="Times New Roman" w:cs="Times New Roman"/>
          <w:color w:val="auto"/>
          <w:highlight w:val="none"/>
          <w:lang w:val="zh-CN" w:eastAsia="zh-CN"/>
        </w:rPr>
        <w:t>家，其中：托克逊县救助站编制数：</w:t>
      </w:r>
      <w:r>
        <w:rPr>
          <w:rFonts w:hint="eastAsia" w:ascii="Times New Roman" w:hAnsi="Times New Roman" w:cs="Times New Roman"/>
          <w:color w:val="auto"/>
          <w:highlight w:val="none"/>
          <w:lang w:val="en-US" w:eastAsia="zh-CN"/>
        </w:rPr>
        <w:t>3个</w:t>
      </w:r>
      <w:r>
        <w:rPr>
          <w:rFonts w:hint="eastAsia" w:ascii="Times New Roman" w:hAnsi="Times New Roman" w:cs="Times New Roman"/>
          <w:color w:val="auto"/>
          <w:highlight w:val="none"/>
          <w:lang w:val="zh-CN" w:eastAsia="zh-CN"/>
        </w:rPr>
        <w:t>，实有人数</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val="zh-CN" w:eastAsia="zh-CN"/>
        </w:rPr>
        <w:t>人，民政局退休干部共</w:t>
      </w:r>
      <w:r>
        <w:rPr>
          <w:rFonts w:hint="eastAsia" w:ascii="Times New Roman" w:hAnsi="Times New Roman" w:cs="Times New Roman"/>
          <w:color w:val="auto"/>
          <w:highlight w:val="none"/>
          <w:lang w:val="en-US" w:eastAsia="zh-CN"/>
        </w:rPr>
        <w:t>20人，当年</w:t>
      </w:r>
      <w:r>
        <w:rPr>
          <w:rFonts w:hint="eastAsia" w:ascii="Times New Roman" w:hAnsi="Times New Roman" w:cs="Times New Roman"/>
          <w:color w:val="auto"/>
          <w:highlight w:val="none"/>
          <w:lang w:val="zh-CN" w:eastAsia="zh-CN"/>
        </w:rPr>
        <w:t>托克逊县人民政府民政局</w:t>
      </w:r>
      <w:r>
        <w:rPr>
          <w:rFonts w:hint="eastAsia" w:ascii="Times New Roman" w:hAnsi="Times New Roman" w:cs="Times New Roman"/>
          <w:color w:val="auto"/>
          <w:highlight w:val="none"/>
          <w:lang w:val="en-US" w:eastAsia="zh-CN"/>
        </w:rPr>
        <w:t>减少1人，原因退休1人。</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bidi w:val="0"/>
        <w:rPr>
          <w:rFonts w:hint="default"/>
          <w:color w:val="auto"/>
          <w:highlight w:val="none"/>
          <w:lang w:val="en-US" w:eastAsia="zh-CN"/>
        </w:rPr>
      </w:pPr>
      <w:r>
        <w:rPr>
          <w:rFonts w:hint="eastAsia"/>
          <w:color w:val="auto"/>
          <w:highlight w:val="none"/>
          <w:lang w:val="en-US" w:eastAsia="zh-CN"/>
        </w:rPr>
        <w:t>项目名称：</w:t>
      </w:r>
      <w:r>
        <w:rPr>
          <w:rFonts w:hint="eastAsia" w:ascii="Times New Roman" w:hAnsi="Times New Roman" w:cs="Times New Roman"/>
          <w:color w:val="auto"/>
          <w:highlight w:val="none"/>
          <w:lang w:val="en-US" w:eastAsia="zh-CN"/>
        </w:rPr>
        <w:t>202</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年</w:t>
      </w:r>
      <w:r>
        <w:rPr>
          <w:rFonts w:hint="eastAsia" w:cs="Times New Roman"/>
          <w:color w:val="auto"/>
          <w:highlight w:val="none"/>
          <w:lang w:val="en-US" w:eastAsia="zh-CN"/>
        </w:rPr>
        <w:t>中央</w:t>
      </w:r>
      <w:r>
        <w:rPr>
          <w:rFonts w:hint="eastAsia" w:ascii="Times New Roman" w:hAnsi="Times New Roman" w:cs="Times New Roman"/>
          <w:color w:val="auto"/>
          <w:highlight w:val="none"/>
          <w:lang w:val="en-US" w:eastAsia="zh-CN"/>
        </w:rPr>
        <w:t>困难群众救助补助资金项目</w:t>
      </w:r>
    </w:p>
    <w:p>
      <w:pPr>
        <w:ind w:firstLine="560"/>
        <w:rPr>
          <w:rFonts w:hint="eastAsia"/>
          <w:color w:val="auto"/>
          <w:highlight w:val="none"/>
          <w:lang w:val="en-US" w:eastAsia="zh-CN"/>
        </w:rPr>
      </w:pPr>
      <w:r>
        <w:rPr>
          <w:rFonts w:hint="eastAsia"/>
          <w:color w:val="auto"/>
          <w:highlight w:val="none"/>
          <w:lang w:val="en-US" w:eastAsia="zh-CN"/>
        </w:rPr>
        <w:t>项目主要内容：</w:t>
      </w:r>
      <w:r>
        <w:rPr>
          <w:rFonts w:hint="eastAsia" w:ascii="Times New Roman" w:hAnsi="Times New Roman" w:cs="Times New Roman"/>
          <w:color w:val="auto"/>
          <w:highlight w:val="none"/>
          <w:lang w:val="en-US" w:eastAsia="zh-CN"/>
        </w:rPr>
        <w:t>托克逊县人民政府民政局2020年实施的困难群众基本生活救助资金项目属于经常性项目</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项目主要内容按照国家相关规定为困难群众做好最低生活保障、特困人员救助供养和临时救助工作。</w:t>
      </w:r>
    </w:p>
    <w:p>
      <w:pPr>
        <w:pStyle w:val="5"/>
        <w:rPr>
          <w:rFonts w:hint="eastAsia"/>
          <w:b w:val="0"/>
          <w:bCs w:val="0"/>
          <w:color w:val="auto"/>
          <w:highlight w:val="none"/>
          <w:lang w:val="en-US" w:eastAsia="zh-CN"/>
        </w:rPr>
      </w:pPr>
      <w:r>
        <w:rPr>
          <w:rFonts w:hint="eastAsia"/>
          <w:b w:val="0"/>
          <w:bCs w:val="0"/>
          <w:color w:val="auto"/>
          <w:highlight w:val="none"/>
          <w:lang w:val="en-US" w:eastAsia="zh-CN"/>
        </w:rPr>
        <w:t>项目实施时间：本项目实施时间为2023</w:t>
      </w:r>
      <w:r>
        <w:rPr>
          <w:rFonts w:hint="eastAsia" w:cs="Times New Roman"/>
          <w:b w:val="0"/>
          <w:bCs w:val="0"/>
          <w:color w:val="auto"/>
          <w:highlight w:val="none"/>
          <w:lang w:val="en-US" w:eastAsia="zh-CN"/>
        </w:rPr>
        <w:t>年1月-2023年12月</w:t>
      </w:r>
    </w:p>
    <w:p>
      <w:pPr>
        <w:rPr>
          <w:rFonts w:hint="eastAsia"/>
          <w:color w:val="auto"/>
          <w:highlight w:val="none"/>
          <w:lang w:val="en-US" w:eastAsia="zh-CN"/>
        </w:rPr>
      </w:pPr>
      <w:r>
        <w:rPr>
          <w:rFonts w:hint="eastAsia"/>
          <w:color w:val="auto"/>
          <w:highlight w:val="none"/>
          <w:lang w:val="en-US" w:eastAsia="zh-CN"/>
        </w:rPr>
        <w:t>项目实施情况：</w:t>
      </w:r>
      <w:r>
        <w:rPr>
          <w:rFonts w:hint="eastAsia" w:cs="Times New Roman"/>
          <w:color w:val="auto"/>
          <w:kern w:val="2"/>
          <w:sz w:val="28"/>
          <w:szCs w:val="24"/>
          <w:highlight w:val="none"/>
          <w:lang w:val="en-US" w:eastAsia="zh-CN" w:bidi="ar-SA"/>
        </w:rPr>
        <w:t>（1）</w:t>
      </w:r>
      <w:r>
        <w:rPr>
          <w:rFonts w:hint="eastAsia" w:ascii="Times New Roman" w:hAnsi="Times New Roman" w:eastAsia="仿宋_GB2312" w:cs="Times New Roman"/>
          <w:color w:val="auto"/>
          <w:kern w:val="2"/>
          <w:sz w:val="28"/>
          <w:szCs w:val="24"/>
          <w:highlight w:val="none"/>
          <w:lang w:val="en-US" w:eastAsia="zh-CN" w:bidi="ar-SA"/>
        </w:rPr>
        <w:t>2023年完成我县困难群众救助补助工作，其中为家庭人均收入低于我县城乡低保标准（家庭财产状况符合城乡低保标准）的2871名农村低保和594名城市低保人员发放差额补助；为21名孤儿发放基本生活补助；为74名农村特困分散供养人员和79名城市特困供养及农村集中特困供养人员发放基本生活补助；全年共计发放12次，有效保障了困难群众的基本生活需求。</w:t>
      </w:r>
      <w:r>
        <w:rPr>
          <w:rFonts w:hint="eastAsia" w:cs="Times New Roman"/>
          <w:color w:val="auto"/>
          <w:kern w:val="2"/>
          <w:sz w:val="28"/>
          <w:szCs w:val="24"/>
          <w:highlight w:val="none"/>
          <w:lang w:val="en-US" w:eastAsia="zh-CN" w:bidi="ar-SA"/>
        </w:rPr>
        <w:t>（2）</w:t>
      </w:r>
      <w:r>
        <w:rPr>
          <w:rFonts w:hint="eastAsia" w:ascii="Times New Roman" w:hAnsi="Times New Roman" w:eastAsia="仿宋_GB2312" w:cs="Times New Roman"/>
          <w:color w:val="auto"/>
          <w:kern w:val="2"/>
          <w:sz w:val="28"/>
          <w:szCs w:val="24"/>
          <w:highlight w:val="none"/>
          <w:lang w:val="en-US" w:eastAsia="zh-CN" w:bidi="ar-SA"/>
        </w:rPr>
        <w:t>为27名特困供养全护理人员，20名特困供养半自理人员，106名特困供养自理人员发放护理补助，保障了他们的基本生活支出，减轻了生活经济压力。</w:t>
      </w:r>
      <w:r>
        <w:rPr>
          <w:rFonts w:hint="eastAsia" w:cs="Times New Roman"/>
          <w:color w:val="auto"/>
          <w:kern w:val="2"/>
          <w:sz w:val="28"/>
          <w:szCs w:val="24"/>
          <w:highlight w:val="none"/>
          <w:lang w:val="en-US" w:eastAsia="zh-CN" w:bidi="ar-SA"/>
        </w:rPr>
        <w:t>（3）</w:t>
      </w:r>
      <w:r>
        <w:rPr>
          <w:rFonts w:hint="eastAsia" w:ascii="Times New Roman" w:hAnsi="Times New Roman" w:eastAsia="仿宋_GB2312" w:cs="Times New Roman"/>
          <w:color w:val="auto"/>
          <w:kern w:val="2"/>
          <w:sz w:val="28"/>
          <w:szCs w:val="24"/>
          <w:highlight w:val="none"/>
          <w:lang w:val="en-US" w:eastAsia="zh-CN" w:bidi="ar-SA"/>
        </w:rPr>
        <w:t>对社会面突发困难的人群（流浪人员、重疾重残重病且生活困难的群众）提供了帮扶帮助，确保他们能够得到基本的生活保障。</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pStyle w:val="5"/>
        <w:bidi w:val="0"/>
        <w:rPr>
          <w:rFonts w:hint="eastAsia" w:cs="Times New Roman"/>
          <w:b w:val="0"/>
          <w:bCs w:val="0"/>
          <w:color w:val="auto"/>
          <w:highlight w:val="none"/>
          <w:lang w:val="en-US" w:eastAsia="zh-CN"/>
        </w:rPr>
      </w:pPr>
      <w:r>
        <w:rPr>
          <w:rFonts w:hint="eastAsia" w:cs="Times New Roman"/>
          <w:b w:val="0"/>
          <w:bCs w:val="0"/>
          <w:color w:val="auto"/>
          <w:highlight w:val="none"/>
          <w:lang w:val="en-US" w:eastAsia="zh-CN"/>
        </w:rPr>
        <w:t>本项目预算安排总额为1835万元，其中财政资金1835万元，其他资金0万元，2023年实际收到预算资金1835万元，预算资金到位率为100%。</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pStyle w:val="5"/>
        <w:bidi w:val="0"/>
        <w:rPr>
          <w:rFonts w:hint="default"/>
          <w:b w:val="0"/>
          <w:bCs w:val="0"/>
          <w:color w:val="auto"/>
          <w:highlight w:val="none"/>
          <w:lang w:val="en-US"/>
        </w:rPr>
      </w:pPr>
      <w:r>
        <w:rPr>
          <w:rFonts w:hint="eastAsia"/>
          <w:b w:val="0"/>
          <w:bCs w:val="0"/>
          <w:color w:val="auto"/>
          <w:highlight w:val="none"/>
          <w:lang w:val="en-US" w:eastAsia="zh-CN"/>
        </w:rPr>
        <w:t>截止到</w:t>
      </w:r>
      <w:r>
        <w:rPr>
          <w:rFonts w:hint="eastAsia" w:cs="Times New Roman"/>
          <w:b w:val="0"/>
          <w:bCs w:val="0"/>
          <w:color w:val="auto"/>
          <w:highlight w:val="none"/>
          <w:lang w:val="en-US" w:eastAsia="zh-CN"/>
        </w:rPr>
        <w:t>2023年12月31日，</w:t>
      </w:r>
      <w:r>
        <w:rPr>
          <w:rFonts w:hint="eastAsia"/>
          <w:b w:val="0"/>
          <w:bCs w:val="0"/>
          <w:color w:val="auto"/>
          <w:highlight w:val="none"/>
        </w:rPr>
        <w:t>本项目实际支付资金</w:t>
      </w:r>
      <w:r>
        <w:rPr>
          <w:rFonts w:hint="eastAsia"/>
          <w:b w:val="0"/>
          <w:bCs w:val="0"/>
          <w:color w:val="auto"/>
          <w:highlight w:val="none"/>
          <w:lang w:val="en-US" w:eastAsia="zh-CN"/>
        </w:rPr>
        <w:t>1723.86</w:t>
      </w:r>
      <w:r>
        <w:rPr>
          <w:rFonts w:hint="eastAsia"/>
          <w:b w:val="0"/>
          <w:bCs w:val="0"/>
          <w:color w:val="auto"/>
          <w:highlight w:val="none"/>
        </w:rPr>
        <w:t>万元，预算执</w:t>
      </w:r>
      <w:r>
        <w:rPr>
          <w:rFonts w:hint="eastAsia" w:cs="Times New Roman"/>
          <w:b w:val="0"/>
          <w:bCs w:val="0"/>
          <w:color w:val="auto"/>
          <w:highlight w:val="none"/>
        </w:rPr>
        <w:t>行率</w:t>
      </w:r>
      <w:r>
        <w:rPr>
          <w:rFonts w:hint="eastAsia" w:cs="Times New Roman"/>
          <w:b w:val="0"/>
          <w:bCs w:val="0"/>
          <w:color w:val="auto"/>
          <w:highlight w:val="none"/>
          <w:lang w:val="en-US" w:eastAsia="zh-CN"/>
        </w:rPr>
        <w:t>93.94</w:t>
      </w:r>
      <w:r>
        <w:rPr>
          <w:rFonts w:hint="eastAsia" w:cs="Times New Roman"/>
          <w:b w:val="0"/>
          <w:bCs w:val="0"/>
          <w:color w:val="auto"/>
          <w:highlight w:val="none"/>
        </w:rPr>
        <w:t>%</w:t>
      </w:r>
      <w:r>
        <w:rPr>
          <w:rFonts w:hint="eastAsia" w:cs="Times New Roman"/>
          <w:b w:val="0"/>
          <w:bCs w:val="0"/>
          <w:color w:val="auto"/>
          <w:highlight w:val="none"/>
          <w:lang w:eastAsia="zh-CN"/>
        </w:rPr>
        <w:t>，</w:t>
      </w:r>
      <w:r>
        <w:rPr>
          <w:rFonts w:hint="eastAsia" w:cs="Times New Roman"/>
          <w:b w:val="0"/>
          <w:bCs w:val="0"/>
          <w:color w:val="auto"/>
          <w:highlight w:val="none"/>
          <w:lang w:val="en-US" w:eastAsia="zh-CN"/>
        </w:rPr>
        <w:t>结转资金111.14</w:t>
      </w:r>
      <w:r>
        <w:rPr>
          <w:rFonts w:hint="eastAsia" w:cs="Times New Roman"/>
          <w:b w:val="0"/>
          <w:bCs w:val="0"/>
          <w:color w:val="auto"/>
          <w:highlight w:val="none"/>
        </w:rPr>
        <w:t>万元。</w:t>
      </w:r>
      <w:r>
        <w:rPr>
          <w:rFonts w:hint="eastAsia" w:cs="Times New Roman"/>
          <w:b w:val="0"/>
          <w:bCs w:val="0"/>
          <w:color w:val="auto"/>
          <w:highlight w:val="none"/>
          <w:lang w:val="en-US" w:eastAsia="zh-CN"/>
        </w:rPr>
        <w:t>项目资金主要用于支付城乡低保1418.54万元，孤儿基本生活费28.5万元，特困人员救助补助207.49万元，临时救助资金67.74万元，流浪乞讨1.59万元。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ind w:firstLine="560"/>
        <w:rPr>
          <w:rFonts w:hint="eastAsia" w:hAnsi="Arial" w:cs="宋体"/>
          <w:bCs/>
          <w:color w:val="auto"/>
          <w:highlight w:val="none"/>
          <w:lang w:val="en-US" w:eastAsia="zh-CN"/>
        </w:rPr>
      </w:pPr>
      <w:r>
        <w:rPr>
          <w:rFonts w:hint="eastAsia" w:hAnsi="Arial" w:cs="宋体"/>
          <w:bCs/>
          <w:color w:val="auto"/>
          <w:highlight w:val="none"/>
          <w:lang w:val="en-US" w:eastAsia="zh-CN"/>
        </w:rPr>
        <w:t>本项目绩效总体目标为：</w:t>
      </w:r>
      <w:r>
        <w:rPr>
          <w:rFonts w:hint="eastAsia" w:hAnsi="Arial" w:cs="宋体"/>
          <w:bCs/>
          <w:color w:val="auto"/>
          <w:highlight w:val="none"/>
        </w:rPr>
        <w:t>对家庭人均收入低于我县城乡低保标准（家庭财产状况符合城乡低保标准）的3166名人员进行差额补助，为169名特困人员和19名孤儿发放基本生活补助，确保他们的日常生活支出。对社会面突发困难的人群（流浪人员、重疾重残重病且生活困难的群众）提供帮扶帮助，确保他们能够得到基本的生活保障。建立健全困难群众社会保障制度，打造托克逊县服务群众、勤政爱民的服务理念，营造良好的社会救助氛围。</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“农村低保补助人数”指标，预期指标值为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25</w:t>
      </w:r>
      <w:r>
        <w:rPr>
          <w:rFonts w:hint="eastAsia" w:cs="Times New Roman"/>
          <w:color w:val="auto"/>
          <w:highlight w:val="none"/>
          <w:lang w:val="en-US" w:eastAsia="zh-CN"/>
        </w:rPr>
        <w:t>1</w:t>
      </w:r>
      <w:r>
        <w:rPr>
          <w:rFonts w:hint="eastAsia" w:ascii="Times New Roman" w:hAnsi="Times New Roman" w:cs="Times New Roman"/>
          <w:color w:val="auto"/>
          <w:highlight w:val="none"/>
        </w:rPr>
        <w:t>2人；</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“城市低保补助人数”指标，预期指标值为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5</w:t>
      </w:r>
      <w:r>
        <w:rPr>
          <w:rFonts w:hint="eastAsia" w:cs="Times New Roman"/>
          <w:color w:val="auto"/>
          <w:highlight w:val="none"/>
          <w:lang w:val="en-US" w:eastAsia="zh-CN"/>
        </w:rPr>
        <w:t>57</w:t>
      </w:r>
      <w:r>
        <w:rPr>
          <w:rFonts w:hint="eastAsia" w:ascii="Times New Roman" w:hAnsi="Times New Roman" w:cs="Times New Roman"/>
          <w:color w:val="auto"/>
          <w:highlight w:val="none"/>
        </w:rPr>
        <w:t>人。</w:t>
      </w:r>
    </w:p>
    <w:p>
      <w:pPr>
        <w:ind w:firstLine="560"/>
        <w:rPr>
          <w:rFonts w:hint="eastAsia"/>
          <w:color w:val="auto"/>
          <w:highlight w:val="none"/>
        </w:rPr>
      </w:pPr>
      <w:r>
        <w:rPr>
          <w:rFonts w:hint="eastAsia" w:ascii="Times New Roman" w:hAnsi="Times New Roman" w:cs="Times New Roman"/>
          <w:color w:val="auto"/>
          <w:highlight w:val="none"/>
        </w:rPr>
        <w:t>“集中孤儿人数”指标，预期指标值为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1</w:t>
      </w:r>
      <w:r>
        <w:rPr>
          <w:rFonts w:hint="eastAsia" w:cs="Times New Roman"/>
          <w:color w:val="auto"/>
          <w:highlight w:val="none"/>
          <w:lang w:val="en-US" w:eastAsia="zh-CN"/>
        </w:rPr>
        <w:t>2</w:t>
      </w:r>
      <w:r>
        <w:rPr>
          <w:rFonts w:hint="eastAsia" w:ascii="Times New Roman" w:hAnsi="Times New Roman" w:cs="Times New Roman"/>
          <w:color w:val="auto"/>
          <w:highlight w:val="none"/>
        </w:rPr>
        <w:t>人。</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“分散孤儿人数”指标，预期指标值为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8人。</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“农村特困分散供养人数”指标，预期指标值为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7</w:t>
      </w:r>
      <w:r>
        <w:rPr>
          <w:rFonts w:hint="eastAsia" w:cs="Times New Roman"/>
          <w:color w:val="auto"/>
          <w:highlight w:val="none"/>
          <w:lang w:val="en-US" w:eastAsia="zh-CN"/>
        </w:rPr>
        <w:t>6</w:t>
      </w:r>
      <w:r>
        <w:rPr>
          <w:rFonts w:hint="eastAsia" w:ascii="Times New Roman" w:hAnsi="Times New Roman" w:cs="Times New Roman"/>
          <w:color w:val="auto"/>
          <w:highlight w:val="none"/>
        </w:rPr>
        <w:t>人。</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“城市特困供养及农村集中特困供养人数”指标，预期指标值为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7</w:t>
      </w:r>
      <w:r>
        <w:rPr>
          <w:rFonts w:hint="eastAsia" w:ascii="Times New Roman" w:hAnsi="Times New Roman" w:cs="Times New Roman"/>
          <w:color w:val="auto"/>
          <w:highlight w:val="none"/>
        </w:rPr>
        <w:t>9人。</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“农村低保补助资金发放次数”指标，预期指标值为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10</w:t>
      </w:r>
      <w:r>
        <w:rPr>
          <w:rFonts w:hint="eastAsia" w:ascii="Times New Roman" w:hAnsi="Times New Roman" w:cs="Times New Roman"/>
          <w:color w:val="auto"/>
          <w:highlight w:val="none"/>
        </w:rPr>
        <w:t>次。</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“城市低保补助资金发放次数”指标，预期指标值为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10</w:t>
      </w:r>
      <w:r>
        <w:rPr>
          <w:rFonts w:hint="eastAsia" w:ascii="Times New Roman" w:hAnsi="Times New Roman" w:cs="Times New Roman"/>
          <w:color w:val="auto"/>
          <w:highlight w:val="none"/>
        </w:rPr>
        <w:t>次。</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“孤儿补助发放次数”指标，预期指标值为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10</w:t>
      </w:r>
      <w:r>
        <w:rPr>
          <w:rFonts w:hint="eastAsia" w:ascii="Times New Roman" w:hAnsi="Times New Roman" w:cs="Times New Roman"/>
          <w:color w:val="auto"/>
          <w:highlight w:val="none"/>
        </w:rPr>
        <w:t>次。</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“特困供养补助资金发放次数”指标，预期指标值为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11</w:t>
      </w:r>
      <w:r>
        <w:rPr>
          <w:rFonts w:hint="eastAsia" w:ascii="Times New Roman" w:hAnsi="Times New Roman" w:cs="Times New Roman"/>
          <w:color w:val="auto"/>
          <w:highlight w:val="none"/>
        </w:rPr>
        <w:t>次。</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“特困供养全护理人数”指标，预期指标值为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30人</w:t>
      </w:r>
      <w:r>
        <w:rPr>
          <w:rFonts w:hint="eastAsia" w:ascii="Times New Roman" w:hAnsi="Times New Roman" w:cs="Times New Roman"/>
          <w:color w:val="auto"/>
          <w:highlight w:val="none"/>
        </w:rPr>
        <w:t>。</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“特困供养半自理人数”指标，预期指标值为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20人</w:t>
      </w:r>
      <w:r>
        <w:rPr>
          <w:rFonts w:hint="eastAsia" w:ascii="Times New Roman" w:hAnsi="Times New Roman" w:cs="Times New Roman"/>
          <w:color w:val="auto"/>
          <w:highlight w:val="none"/>
        </w:rPr>
        <w:t>。</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“特困供养全自理人数”指标，预期指标值为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105人</w:t>
      </w:r>
      <w:r>
        <w:rPr>
          <w:rFonts w:hint="eastAsia" w:ascii="Times New Roman" w:hAnsi="Times New Roman" w:cs="Times New Roman"/>
          <w:color w:val="auto"/>
          <w:highlight w:val="none"/>
        </w:rPr>
        <w:t>。</w:t>
      </w:r>
    </w:p>
    <w:p>
      <w:pPr>
        <w:ind w:firstLine="560"/>
        <w:rPr>
          <w:color w:val="auto"/>
          <w:highlight w:val="none"/>
        </w:rPr>
      </w:pPr>
      <w:r>
        <w:rPr>
          <w:rFonts w:hint="eastAsia"/>
          <w:color w:val="auto"/>
          <w:highlight w:val="none"/>
        </w:rPr>
        <w:t>②质量指标</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“低保资金社会化发放率”指标，预期指标值为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95%；</w:t>
      </w:r>
    </w:p>
    <w:p>
      <w:pPr>
        <w:pStyle w:val="2"/>
        <w:rPr>
          <w:rFonts w:hint="eastAsia" w:eastAsia="仿宋_GB2312"/>
          <w:color w:val="auto"/>
          <w:highlight w:val="none"/>
          <w:lang w:eastAsia="zh-CN"/>
        </w:rPr>
      </w:pPr>
      <w:r>
        <w:rPr>
          <w:rFonts w:hint="eastAsia" w:ascii="Times New Roman" w:hAnsi="Times New Roman" w:cs="Times New Roman"/>
          <w:color w:val="auto"/>
          <w:highlight w:val="none"/>
        </w:rPr>
        <w:t>“</w:t>
      </w:r>
      <w:r>
        <w:rPr>
          <w:rFonts w:hint="eastAsia" w:ascii="Times New Roman" w:hAnsi="Times New Roman" w:eastAsia="仿宋_GB2312" w:cs="Times New Roman"/>
          <w:color w:val="auto"/>
          <w:kern w:val="2"/>
          <w:sz w:val="28"/>
          <w:szCs w:val="24"/>
          <w:highlight w:val="none"/>
          <w:lang w:val="en-US" w:eastAsia="zh-CN" w:bidi="ar-SA"/>
        </w:rPr>
        <w:t>特困人员救助供养覆盖率</w:t>
      </w:r>
      <w:r>
        <w:rPr>
          <w:rFonts w:hint="eastAsia" w:ascii="Times New Roman" w:hAnsi="Times New Roman" w:cs="Times New Roman"/>
          <w:color w:val="auto"/>
          <w:highlight w:val="none"/>
        </w:rPr>
        <w:t>”指标，预期指标值为</w:t>
      </w:r>
      <w:r>
        <w:rPr>
          <w:rFonts w:hint="eastAsia" w:ascii="Times New Roman" w:hAnsi="Times New Roman" w:cs="Times New Roman"/>
          <w:color w:val="auto"/>
          <w:highlight w:val="none"/>
          <w:lang w:eastAsia="zh-CN"/>
        </w:rPr>
        <w:t>大于等于</w:t>
      </w:r>
      <w:r>
        <w:rPr>
          <w:rFonts w:hint="eastAsia" w:ascii="Times New Roman" w:hAnsi="Times New Roman" w:cs="Times New Roman"/>
          <w:color w:val="auto"/>
          <w:highlight w:val="none"/>
        </w:rPr>
        <w:t>95%</w:t>
      </w:r>
      <w:r>
        <w:rPr>
          <w:rFonts w:hint="eastAsia" w:ascii="Times New Roman" w:hAnsi="Times New Roman" w:cs="Times New Roman"/>
          <w:color w:val="auto"/>
          <w:highlight w:val="none"/>
          <w:lang w:eastAsia="zh-CN"/>
        </w:rPr>
        <w:t>；</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“求助流浪乞讨人员救助率”指标，预期指标值为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95%。</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rPr>
        <w:t>“救助补助资金发放及时率”指标，预期指标值为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95%</w:t>
      </w:r>
      <w:r>
        <w:rPr>
          <w:rFonts w:hint="eastAsia" w:ascii="Times New Roman" w:hAnsi="Times New Roman" w:cs="Times New Roman"/>
          <w:color w:val="auto"/>
          <w:highlight w:val="none"/>
          <w:lang w:eastAsia="zh-CN"/>
        </w:rPr>
        <w:t>。</w:t>
      </w:r>
      <w:r>
        <w:rPr>
          <w:rFonts w:hint="eastAsia" w:cs="Times New Roman"/>
          <w:color w:val="auto"/>
          <w:highlight w:val="none"/>
          <w:lang w:val="en-US" w:eastAsia="zh-CN"/>
        </w:rPr>
        <w:t xml:space="preserve">      </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④成本指标</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“农村低保最高标准”指标，预期指标值为</w:t>
      </w:r>
      <w:r>
        <w:rPr>
          <w:rFonts w:hint="eastAsia" w:cs="Times New Roman"/>
          <w:color w:val="auto"/>
          <w:highlight w:val="none"/>
          <w:lang w:eastAsia="zh-CN"/>
        </w:rPr>
        <w:t>小于等于</w:t>
      </w:r>
      <w:r>
        <w:rPr>
          <w:rFonts w:hint="eastAsia" w:ascii="Times New Roman" w:hAnsi="Times New Roman" w:cs="Times New Roman"/>
          <w:color w:val="auto"/>
          <w:highlight w:val="none"/>
        </w:rPr>
        <w:t>440.83元/人/个月；</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rPr>
        <w:t>“城市低保最高标准补助支出”指标，预期指标值为</w:t>
      </w:r>
      <w:r>
        <w:rPr>
          <w:rFonts w:hint="eastAsia" w:cs="Times New Roman"/>
          <w:color w:val="auto"/>
          <w:highlight w:val="none"/>
          <w:lang w:eastAsia="zh-CN"/>
        </w:rPr>
        <w:t>小于等于</w:t>
      </w:r>
      <w:r>
        <w:rPr>
          <w:rFonts w:hint="eastAsia" w:ascii="Times New Roman" w:hAnsi="Times New Roman" w:cs="Times New Roman"/>
          <w:color w:val="auto"/>
          <w:highlight w:val="none"/>
        </w:rPr>
        <w:t>616元/人/个月</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rPr>
        <w:t>“集中孤儿生活费标准”指标，预期指标值</w:t>
      </w:r>
      <w:r>
        <w:rPr>
          <w:rFonts w:hint="eastAsia" w:cs="Times New Roman"/>
          <w:color w:val="auto"/>
          <w:highlight w:val="none"/>
          <w:lang w:eastAsia="zh-CN"/>
        </w:rPr>
        <w:t>为</w:t>
      </w:r>
      <w:r>
        <w:rPr>
          <w:rFonts w:hint="eastAsia" w:ascii="Times New Roman" w:hAnsi="Times New Roman" w:cs="Times New Roman"/>
          <w:color w:val="auto"/>
          <w:highlight w:val="none"/>
        </w:rPr>
        <w:t>1610元/人/个月</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rPr>
        <w:t>“分散孤儿生活费标准”指标，预期指标值</w:t>
      </w:r>
      <w:r>
        <w:rPr>
          <w:rFonts w:hint="eastAsia" w:cs="Times New Roman"/>
          <w:color w:val="auto"/>
          <w:highlight w:val="none"/>
          <w:lang w:eastAsia="zh-CN"/>
        </w:rPr>
        <w:t>为</w:t>
      </w:r>
      <w:r>
        <w:rPr>
          <w:rFonts w:hint="eastAsia" w:ascii="Times New Roman" w:hAnsi="Times New Roman" w:cs="Times New Roman"/>
          <w:color w:val="auto"/>
          <w:highlight w:val="none"/>
        </w:rPr>
        <w:t>1150元/人/个月</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rPr>
        <w:t>“特困集中供养人员基本生活补助标准”指标，预期指标值</w:t>
      </w:r>
      <w:r>
        <w:rPr>
          <w:rFonts w:hint="eastAsia" w:cs="Times New Roman"/>
          <w:color w:val="auto"/>
          <w:highlight w:val="none"/>
          <w:lang w:eastAsia="zh-CN"/>
        </w:rPr>
        <w:t>为</w:t>
      </w:r>
      <w:r>
        <w:rPr>
          <w:rFonts w:hint="eastAsia" w:ascii="Times New Roman" w:hAnsi="Times New Roman" w:cs="Times New Roman"/>
          <w:color w:val="auto"/>
          <w:highlight w:val="none"/>
        </w:rPr>
        <w:t>1035元/人/个月</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rPr>
        <w:t>“特困分散分散人员基本生活补助标准”指标，预期指标值</w:t>
      </w:r>
      <w:r>
        <w:rPr>
          <w:rFonts w:hint="eastAsia" w:cs="Times New Roman"/>
          <w:color w:val="auto"/>
          <w:highlight w:val="none"/>
          <w:lang w:eastAsia="zh-CN"/>
        </w:rPr>
        <w:t>为</w:t>
      </w:r>
      <w:r>
        <w:rPr>
          <w:rFonts w:hint="eastAsia" w:ascii="Times New Roman" w:hAnsi="Times New Roman" w:cs="Times New Roman"/>
          <w:color w:val="auto"/>
          <w:highlight w:val="none"/>
        </w:rPr>
        <w:t>690元/人/个月</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rPr>
        <w:t>“其他临时救助支出”指标，预期指标值为</w:t>
      </w:r>
      <w:r>
        <w:rPr>
          <w:rFonts w:hint="eastAsia" w:cs="Times New Roman"/>
          <w:color w:val="auto"/>
          <w:highlight w:val="none"/>
          <w:lang w:eastAsia="zh-CN"/>
        </w:rPr>
        <w:t>小于等于</w:t>
      </w:r>
      <w:r>
        <w:rPr>
          <w:rFonts w:hint="eastAsia" w:ascii="Times New Roman" w:hAnsi="Times New Roman" w:cs="Times New Roman"/>
          <w:color w:val="auto"/>
          <w:highlight w:val="none"/>
        </w:rPr>
        <w:t>1537980.4元</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rPr>
        <w:t>“特困供养全护理补助标准”指标，预期指标值</w:t>
      </w:r>
      <w:r>
        <w:rPr>
          <w:rFonts w:hint="eastAsia" w:cs="Times New Roman"/>
          <w:color w:val="auto"/>
          <w:highlight w:val="none"/>
          <w:lang w:eastAsia="zh-CN"/>
        </w:rPr>
        <w:t>为</w:t>
      </w:r>
      <w:r>
        <w:rPr>
          <w:rFonts w:hint="eastAsia" w:ascii="Times New Roman" w:hAnsi="Times New Roman" w:cs="Times New Roman"/>
          <w:color w:val="auto"/>
          <w:highlight w:val="none"/>
        </w:rPr>
        <w:t>1300元/人/月</w:t>
      </w:r>
      <w:r>
        <w:rPr>
          <w:rFonts w:hint="eastAsia" w:ascii="Times New Roman" w:hAnsi="Times New Roman" w:cs="Times New Roman"/>
          <w:color w:val="auto"/>
          <w:highlight w:val="none"/>
          <w:lang w:val="en-US" w:eastAsia="zh-CN"/>
        </w:rPr>
        <w:t>;</w:t>
      </w:r>
    </w:p>
    <w:p>
      <w:pPr>
        <w:ind w:firstLine="56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rPr>
        <w:t>“特困供养半自理补助人数”指标，预期指标值</w:t>
      </w:r>
      <w:r>
        <w:rPr>
          <w:rFonts w:hint="eastAsia" w:cs="Times New Roman"/>
          <w:color w:val="auto"/>
          <w:highlight w:val="none"/>
          <w:lang w:eastAsia="zh-CN"/>
        </w:rPr>
        <w:t>为</w:t>
      </w:r>
      <w:r>
        <w:rPr>
          <w:rFonts w:hint="eastAsia" w:ascii="Times New Roman" w:hAnsi="Times New Roman" w:cs="Times New Roman"/>
          <w:color w:val="auto"/>
          <w:highlight w:val="none"/>
        </w:rPr>
        <w:t>400元/人/月</w:t>
      </w:r>
      <w:r>
        <w:rPr>
          <w:rFonts w:hint="eastAsia" w:ascii="Times New Roman" w:hAnsi="Times New Roman" w:cs="Times New Roman"/>
          <w:color w:val="auto"/>
          <w:highlight w:val="none"/>
          <w:lang w:val="en-US" w:eastAsia="zh-CN"/>
        </w:rPr>
        <w:t>;</w:t>
      </w:r>
    </w:p>
    <w:p>
      <w:pPr>
        <w:ind w:firstLine="560"/>
        <w:rPr>
          <w:rFonts w:hint="eastAsia" w:ascii="Times New Roman" w:hAnsi="Times New Roman" w:eastAsia="仿宋_GB2312" w:cs="Times New Roman"/>
          <w:color w:val="auto"/>
          <w:highlight w:val="none"/>
          <w:lang w:eastAsia="zh-CN"/>
        </w:rPr>
      </w:pPr>
      <w:r>
        <w:rPr>
          <w:rFonts w:hint="eastAsia" w:ascii="Times New Roman" w:hAnsi="Times New Roman" w:cs="Times New Roman"/>
          <w:color w:val="auto"/>
          <w:highlight w:val="none"/>
        </w:rPr>
        <w:t>“特困供养自理人员补助标准”指标，预期指标值</w:t>
      </w:r>
      <w:r>
        <w:rPr>
          <w:rFonts w:hint="eastAsia" w:cs="Times New Roman"/>
          <w:color w:val="auto"/>
          <w:highlight w:val="none"/>
          <w:lang w:eastAsia="zh-CN"/>
        </w:rPr>
        <w:t>为</w:t>
      </w:r>
      <w:r>
        <w:rPr>
          <w:rFonts w:hint="eastAsia" w:ascii="Times New Roman" w:hAnsi="Times New Roman" w:cs="Times New Roman"/>
          <w:color w:val="auto"/>
          <w:highlight w:val="none"/>
        </w:rPr>
        <w:t>200元/人/月</w:t>
      </w:r>
      <w:r>
        <w:rPr>
          <w:rFonts w:hint="eastAsia" w:cs="Times New Roman"/>
          <w:color w:val="auto"/>
          <w:highlight w:val="none"/>
          <w:lang w:eastAsia="zh-CN"/>
        </w:rPr>
        <w:t>。</w:t>
      </w:r>
    </w:p>
    <w:p>
      <w:pPr>
        <w:ind w:firstLine="562"/>
        <w:rPr>
          <w:rFonts w:ascii="仿宋" w:hAnsi="仿宋" w:eastAsia="仿宋"/>
          <w:b/>
          <w:color w:val="auto"/>
          <w:highlight w:val="none"/>
        </w:rPr>
      </w:pPr>
      <w:r>
        <w:rPr>
          <w:rFonts w:hint="eastAsia" w:ascii="仿宋" w:hAnsi="仿宋" w:eastAsia="仿宋"/>
          <w:b/>
          <w:color w:val="auto"/>
          <w:highlight w:val="none"/>
        </w:rPr>
        <w:t>（2）项目效益目标</w:t>
      </w:r>
    </w:p>
    <w:p>
      <w:pPr>
        <w:ind w:firstLine="560"/>
        <w:rPr>
          <w:color w:val="auto"/>
          <w:highlight w:val="none"/>
        </w:rPr>
      </w:pPr>
      <w:r>
        <w:rPr>
          <w:rFonts w:hint="eastAsia"/>
          <w:color w:val="auto"/>
          <w:highlight w:val="none"/>
        </w:rPr>
        <w:t>①经济效益指标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color w:val="auto"/>
          <w:highlight w:val="none"/>
        </w:rPr>
      </w:pPr>
      <w:r>
        <w:rPr>
          <w:rFonts w:hint="eastAsia"/>
          <w:color w:val="auto"/>
          <w:highlight w:val="none"/>
        </w:rPr>
        <w:t>②社会效益指标</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“保障困难群众基本生活需求”指标，预期指标值为有效保障；</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“帮助查明身份滞留流浪乞讨人员返乡率”指标，预期指标值</w:t>
      </w:r>
      <w:r>
        <w:rPr>
          <w:rFonts w:hint="eastAsia" w:cs="Times New Roman"/>
          <w:color w:val="auto"/>
          <w:highlight w:val="none"/>
          <w:lang w:eastAsia="zh-CN"/>
        </w:rPr>
        <w:t>为</w:t>
      </w:r>
      <w:r>
        <w:rPr>
          <w:rFonts w:hint="eastAsia" w:ascii="Times New Roman" w:hAnsi="Times New Roman" w:cs="Times New Roman"/>
          <w:color w:val="auto"/>
          <w:highlight w:val="none"/>
        </w:rPr>
        <w:t>100%。</w:t>
      </w:r>
    </w:p>
    <w:p>
      <w:pPr>
        <w:ind w:firstLine="560"/>
        <w:rPr>
          <w:color w:val="auto"/>
          <w:highlight w:val="none"/>
        </w:rPr>
      </w:pPr>
      <w:r>
        <w:rPr>
          <w:rFonts w:hint="eastAsia"/>
          <w:color w:val="auto"/>
          <w:highlight w:val="none"/>
        </w:rPr>
        <w:t>③生态效益指标</w:t>
      </w:r>
    </w:p>
    <w:p>
      <w:pPr>
        <w:ind w:firstLine="560"/>
        <w:rPr>
          <w:color w:val="auto"/>
          <w:highlight w:val="none"/>
        </w:rPr>
      </w:pPr>
      <w:r>
        <w:rPr>
          <w:rFonts w:hint="eastAsia"/>
          <w:color w:val="auto"/>
          <w:highlight w:val="none"/>
          <w:lang w:val="en-US" w:eastAsia="zh-CN"/>
        </w:rPr>
        <w:t>无</w:t>
      </w:r>
      <w:r>
        <w:rPr>
          <w:rFonts w:hint="eastAsia"/>
          <w:color w:val="auto"/>
          <w:highlight w:val="none"/>
        </w:rPr>
        <w:t>。</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（3）相关满意度目标</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①满意度指标</w:t>
      </w:r>
    </w:p>
    <w:p>
      <w:pPr>
        <w:ind w:firstLine="560"/>
        <w:rPr>
          <w:rFonts w:hint="eastAsia" w:cs="Times New Roman"/>
          <w:color w:val="auto"/>
          <w:highlight w:val="none"/>
          <w:lang w:eastAsia="zh-CN"/>
        </w:rPr>
      </w:pPr>
      <w:r>
        <w:rPr>
          <w:rFonts w:hint="eastAsia" w:ascii="Times New Roman" w:hAnsi="Times New Roman" w:cs="Times New Roman"/>
          <w:color w:val="auto"/>
          <w:highlight w:val="none"/>
        </w:rPr>
        <w:t>“救助对象满意度”指标，预期指标值为</w:t>
      </w:r>
      <w:r>
        <w:rPr>
          <w:rFonts w:hint="eastAsia" w:cs="Times New Roman"/>
          <w:color w:val="auto"/>
          <w:highlight w:val="none"/>
          <w:lang w:eastAsia="zh-CN"/>
        </w:rPr>
        <w:t>大于等于</w:t>
      </w:r>
      <w:r>
        <w:rPr>
          <w:rFonts w:hint="eastAsia" w:ascii="Times New Roman" w:hAnsi="Times New Roman" w:cs="Times New Roman"/>
          <w:color w:val="auto"/>
          <w:highlight w:val="none"/>
        </w:rPr>
        <w:t>90%</w:t>
      </w:r>
      <w:r>
        <w:rPr>
          <w:rFonts w:hint="eastAsia" w:cs="Times New Roman"/>
          <w:color w:val="auto"/>
          <w:highlight w:val="none"/>
          <w:lang w:eastAsia="zh-CN"/>
        </w:rPr>
        <w:t>；</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“救助补助政策群众知晓率”指标，预期指标值为</w:t>
      </w:r>
      <w:r>
        <w:rPr>
          <w:rFonts w:hint="eastAsia" w:cs="Times New Roman"/>
          <w:color w:val="auto"/>
          <w:highlight w:val="none"/>
          <w:lang w:eastAsia="zh-CN"/>
        </w:rPr>
        <w:t>大于等于</w:t>
      </w:r>
      <w:r>
        <w:rPr>
          <w:rFonts w:hint="eastAsia" w:cs="Times New Roman"/>
          <w:color w:val="auto"/>
          <w:highlight w:val="none"/>
          <w:lang w:val="en-US" w:eastAsia="zh-CN"/>
        </w:rPr>
        <w:t>85</w:t>
      </w:r>
      <w:r>
        <w:rPr>
          <w:rFonts w:hint="eastAsia" w:ascii="Times New Roman" w:hAnsi="Times New Roman" w:cs="Times New Roman"/>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3"/>
        </w:numPr>
        <w:ind w:firstLine="643"/>
        <w:rPr>
          <w:rFonts w:ascii="楷体" w:hAnsi="楷体" w:cs="楷体"/>
          <w:color w:val="auto"/>
          <w:szCs w:val="32"/>
          <w:highlight w:val="none"/>
        </w:rPr>
      </w:pPr>
      <w:bookmarkStart w:id="0" w:name="_Toc12868"/>
      <w:bookmarkStart w:id="1" w:name="_Toc22922"/>
      <w:bookmarkStart w:id="2" w:name="_Toc5462343"/>
      <w:bookmarkStart w:id="3" w:name="_Toc26632"/>
      <w:bookmarkStart w:id="4" w:name="_Toc21664"/>
      <w:bookmarkStart w:id="5" w:name="_Toc22169_WPSOffice_Level2"/>
      <w:bookmarkStart w:id="6" w:name="_Toc480473081"/>
      <w:bookmarkStart w:id="7" w:name="_Toc5258"/>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ind w:firstLine="562"/>
        <w:rPr>
          <w:color w:val="auto"/>
          <w:highlight w:val="none"/>
        </w:rPr>
      </w:pPr>
      <w:r>
        <w:rPr>
          <w:rFonts w:hint="eastAsia"/>
          <w:color w:val="auto"/>
          <w:highlight w:val="none"/>
        </w:rPr>
        <w:t>2.绩效评价的对象和范围</w:t>
      </w:r>
    </w:p>
    <w:p>
      <w:pP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ascii="Times New Roman" w:hAnsi="Times New Roman" w:cs="Times New Roman"/>
          <w:color w:val="auto"/>
          <w:highlight w:val="none"/>
          <w:lang w:val="en-US" w:eastAsia="zh-CN"/>
        </w:rPr>
        <w:t>202</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年困难群众救助补助资金(县级配套)</w:t>
      </w:r>
      <w:r>
        <w:rPr>
          <w:rFonts w:hint="eastAsia"/>
          <w:color w:val="auto"/>
          <w:highlight w:val="none"/>
        </w:rPr>
        <w:t>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pP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资金使用情况、财务管理状况和资产配置、使用、处置及其收益管理情况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4"/>
        <w:numPr>
          <w:ilvl w:val="0"/>
          <w:numId w:val="3"/>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600" w:lineRule="exact"/>
        <w:ind w:firstLine="560"/>
        <w:rPr>
          <w:color w:val="auto"/>
          <w:highlight w:val="none"/>
        </w:rPr>
      </w:pPr>
      <w:r>
        <w:rPr>
          <w:rFonts w:hint="eastAsia"/>
          <w:color w:val="auto"/>
          <w:highlight w:val="none"/>
        </w:rPr>
        <w:t>根据以上原则，绩效评价应遵循如下要求：</w:t>
      </w:r>
    </w:p>
    <w:p>
      <w:pP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pacing w:line="600" w:lineRule="exact"/>
        <w:ind w:firstLine="560"/>
        <w:rPr>
          <w:color w:val="auto"/>
          <w:highlight w:val="none"/>
        </w:rPr>
      </w:pPr>
      <w:r>
        <w:rPr>
          <w:rFonts w:hint="eastAsia"/>
          <w:color w:val="auto"/>
          <w:highlight w:val="none"/>
        </w:rPr>
        <w:t>（2）保证评价结果的真实性、公正性，提高评价报告的公信力。</w:t>
      </w:r>
    </w:p>
    <w:p>
      <w:pP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5"/>
        <w:ind w:firstLine="562"/>
        <w:rPr>
          <w:color w:val="auto"/>
          <w:highlight w:val="none"/>
        </w:rPr>
      </w:pPr>
      <w:bookmarkStart w:id="8" w:name="_Toc26131"/>
      <w:bookmarkStart w:id="9" w:name="_Toc428278230"/>
      <w:bookmarkStart w:id="10" w:name="_Toc419984722"/>
      <w:bookmarkStart w:id="11" w:name="_Toc1913"/>
      <w:r>
        <w:rPr>
          <w:rFonts w:hint="eastAsia"/>
          <w:color w:val="auto"/>
          <w:highlight w:val="none"/>
        </w:rPr>
        <w:t>2.绩效评价指标体系</w:t>
      </w:r>
      <w:bookmarkEnd w:id="8"/>
      <w:bookmarkEnd w:id="9"/>
      <w:bookmarkEnd w:id="10"/>
      <w:bookmarkEnd w:id="11"/>
    </w:p>
    <w:p>
      <w:pP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ind w:firstLine="560"/>
        <w:rPr>
          <w:color w:val="auto"/>
          <w:highlight w:val="none"/>
        </w:rPr>
      </w:pPr>
      <w:r>
        <w:rPr>
          <w:rFonts w:hint="eastAsia"/>
          <w:color w:val="auto"/>
          <w:highlight w:val="none"/>
          <w:lang w:val="en-US" w:eastAsia="zh-CN"/>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p>
    <w:p>
      <w:pPr>
        <w:pStyle w:val="5"/>
        <w:ind w:firstLine="562"/>
        <w:rPr>
          <w:color w:val="auto"/>
          <w:highlight w:val="none"/>
        </w:rPr>
      </w:pPr>
      <w:r>
        <w:rPr>
          <w:rFonts w:hint="eastAsia"/>
          <w:color w:val="auto"/>
          <w:highlight w:val="none"/>
        </w:rPr>
        <w:t>3.评价方法</w:t>
      </w:r>
    </w:p>
    <w:p>
      <w:pP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bidi w:val="0"/>
        <w:rPr>
          <w:rFonts w:hint="eastAsia"/>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满意度指标：主要采用比较法，据满意度问卷统计情况计算完成比率与预期指标值对比，达成满意度预期目标的，得满分；未完成指标值的，按照完成值与预期指标值的比值计算得分；满意度小于60%不得分。</w:t>
      </w:r>
    </w:p>
    <w:p>
      <w:pP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5"/>
        <w:ind w:firstLine="562"/>
        <w:rPr>
          <w:color w:val="auto"/>
          <w:highlight w:val="none"/>
        </w:rPr>
      </w:pPr>
      <w:r>
        <w:rPr>
          <w:rFonts w:hint="eastAsia"/>
          <w:color w:val="auto"/>
          <w:highlight w:val="none"/>
        </w:rPr>
        <w:t>4.评价标准</w:t>
      </w:r>
    </w:p>
    <w:p>
      <w:pP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ind w:firstLine="560"/>
        <w:rPr>
          <w:color w:val="auto"/>
          <w:highlight w:val="none"/>
        </w:rPr>
      </w:pPr>
      <w:r>
        <w:rPr>
          <w:rFonts w:hint="eastAsia" w:ascii="Times New Roman" w:hAnsi="Times New Roman" w:cs="Times New Roman"/>
          <w:color w:val="auto"/>
          <w:highlight w:val="none"/>
          <w:lang w:val="en-US" w:eastAsia="zh-CN"/>
        </w:rPr>
        <w:t>（4）财政部门和预算部门确认或认可的其他标准。</w:t>
      </w:r>
    </w:p>
    <w:p>
      <w:pPr>
        <w:pStyle w:val="4"/>
        <w:numPr>
          <w:ilvl w:val="0"/>
          <w:numId w:val="3"/>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202</w:t>
      </w:r>
      <w:r>
        <w:rPr>
          <w:rFonts w:hint="eastAsia" w:cs="Times New Roman"/>
          <w:color w:val="auto"/>
          <w:highlight w:val="none"/>
          <w:lang w:val="en-US" w:eastAsia="zh-CN"/>
        </w:rPr>
        <w:t>4</w:t>
      </w:r>
      <w:r>
        <w:rPr>
          <w:rFonts w:hint="eastAsia" w:ascii="Times New Roman" w:hAnsi="Times New Roman" w:cs="Times New Roman"/>
          <w:color w:val="auto"/>
          <w:highlight w:val="none"/>
          <w:lang w:val="en-US" w:eastAsia="zh-CN"/>
        </w:rPr>
        <w:t>年</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月</w:t>
      </w:r>
      <w:r>
        <w:rPr>
          <w:rFonts w:hint="eastAsia" w:cs="Times New Roman"/>
          <w:color w:val="auto"/>
          <w:highlight w:val="none"/>
          <w:lang w:val="en-US" w:eastAsia="zh-CN"/>
        </w:rPr>
        <w:t>26日</w:t>
      </w:r>
      <w:r>
        <w:rPr>
          <w:rFonts w:hint="eastAsia"/>
          <w:color w:val="auto"/>
          <w:highlight w:val="none"/>
          <w:lang w:val="en-US" w:eastAsia="zh-CN"/>
        </w:rPr>
        <w:t>，</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ind w:firstLine="560"/>
        <w:rPr>
          <w:rFonts w:hint="default"/>
          <w:color w:val="auto"/>
          <w:highlight w:val="none"/>
          <w:lang w:val="en-US" w:eastAsia="zh-CN"/>
        </w:rPr>
      </w:pPr>
      <w:r>
        <w:rPr>
          <w:rFonts w:hint="eastAsia"/>
          <w:color w:val="auto"/>
          <w:highlight w:val="none"/>
          <w:lang w:val="en-US" w:eastAsia="zh-CN"/>
        </w:rPr>
        <w:t>（1）评价组组长：</w:t>
      </w:r>
      <w:r>
        <w:rPr>
          <w:rFonts w:hint="eastAsia" w:ascii="Times New Roman" w:hAnsi="Times New Roman" w:cs="Times New Roman"/>
          <w:color w:val="auto"/>
          <w:highlight w:val="none"/>
          <w:lang w:val="en-US" w:eastAsia="zh-CN"/>
        </w:rPr>
        <w:t>迪力夏提江·赛瓦都力（民政局党组副书记、局长），</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ind w:firstLine="560"/>
        <w:rPr>
          <w:rFonts w:hint="eastAsia"/>
          <w:color w:val="auto"/>
          <w:highlight w:val="none"/>
          <w:lang w:val="en-US" w:eastAsia="zh-CN"/>
        </w:rPr>
      </w:pPr>
      <w:r>
        <w:rPr>
          <w:rFonts w:hint="eastAsia"/>
          <w:color w:val="auto"/>
          <w:highlight w:val="none"/>
          <w:lang w:val="en-US" w:eastAsia="zh-CN"/>
        </w:rPr>
        <w:t>（2）评价组成员：</w:t>
      </w:r>
      <w:r>
        <w:rPr>
          <w:rFonts w:hint="eastAsia" w:ascii="Times New Roman" w:hAnsi="Times New Roman" w:cs="Times New Roman"/>
          <w:color w:val="auto"/>
          <w:highlight w:val="none"/>
          <w:lang w:val="en-US" w:eastAsia="zh-CN"/>
        </w:rPr>
        <w:t>乃吉木丁·依沙木丁（社会救助科科长），</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w:t>
      </w:r>
      <w:r>
        <w:rPr>
          <w:rFonts w:hint="eastAsia" w:ascii="Times New Roman" w:hAnsi="Times New Roman" w:cs="Times New Roman"/>
          <w:color w:val="auto"/>
          <w:highlight w:val="none"/>
          <w:lang w:val="en-US" w:eastAsia="zh-CN"/>
        </w:rPr>
        <w:t>吾日买提·奥提克尔（儿童</w:t>
      </w:r>
      <w:r>
        <w:rPr>
          <w:rFonts w:hint="eastAsia" w:cs="Times New Roman"/>
          <w:color w:val="auto"/>
          <w:highlight w:val="none"/>
          <w:lang w:val="en-US" w:eastAsia="zh-CN"/>
        </w:rPr>
        <w:t>院</w:t>
      </w:r>
      <w:r>
        <w:rPr>
          <w:rFonts w:hint="eastAsia" w:ascii="Times New Roman" w:hAnsi="Times New Roman" w:cs="Times New Roman"/>
          <w:color w:val="auto"/>
          <w:highlight w:val="none"/>
          <w:lang w:val="en-US" w:eastAsia="zh-CN"/>
        </w:rPr>
        <w:t>院长）、艾科拜尔·尼扎木（敬老院院长）、社会救助科所有成员</w:t>
      </w:r>
      <w:r>
        <w:rPr>
          <w:rFonts w:hint="eastAsia"/>
          <w:color w:val="auto"/>
          <w:highlight w:val="none"/>
          <w:lang w:val="en-US" w:eastAsia="zh-CN"/>
        </w:rPr>
        <w:t>，</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eastAsia="zh-CN"/>
        </w:rPr>
        <w:t>202</w:t>
      </w:r>
      <w:r>
        <w:rPr>
          <w:rFonts w:hint="eastAsia" w:cs="Times New Roman"/>
          <w:color w:val="auto"/>
          <w:highlight w:val="none"/>
          <w:lang w:val="en-US" w:eastAsia="zh-CN"/>
        </w:rPr>
        <w:t>4</w:t>
      </w:r>
      <w:r>
        <w:rPr>
          <w:rFonts w:hint="eastAsia" w:ascii="Times New Roman" w:hAnsi="Times New Roman" w:cs="Times New Roman"/>
          <w:color w:val="auto"/>
          <w:highlight w:val="none"/>
          <w:lang w:eastAsia="zh-CN"/>
        </w:rPr>
        <w:t>年</w:t>
      </w:r>
      <w:r>
        <w:rPr>
          <w:rFonts w:hint="eastAsia" w:cs="Times New Roman"/>
          <w:color w:val="auto"/>
          <w:highlight w:val="none"/>
          <w:lang w:val="en-US" w:eastAsia="zh-CN"/>
        </w:rPr>
        <w:t>2</w:t>
      </w:r>
      <w:r>
        <w:rPr>
          <w:rFonts w:hint="eastAsia" w:ascii="Times New Roman" w:hAnsi="Times New Roman" w:cs="Times New Roman"/>
          <w:color w:val="auto"/>
          <w:highlight w:val="none"/>
          <w:lang w:eastAsia="zh-CN"/>
        </w:rPr>
        <w:t>月</w:t>
      </w:r>
      <w:r>
        <w:rPr>
          <w:rFonts w:hint="eastAsia" w:cs="Times New Roman"/>
          <w:color w:val="auto"/>
          <w:highlight w:val="none"/>
          <w:lang w:val="en-US" w:eastAsia="zh-CN"/>
        </w:rPr>
        <w:t>28</w:t>
      </w:r>
      <w:r>
        <w:rPr>
          <w:rFonts w:hint="eastAsia" w:ascii="Times New Roman" w:hAnsi="Times New Roman" w:cs="Times New Roman"/>
          <w:color w:val="auto"/>
          <w:highlight w:val="none"/>
          <w:lang w:eastAsia="zh-CN"/>
        </w:rPr>
        <w:t>日-</w:t>
      </w:r>
      <w:r>
        <w:rPr>
          <w:rFonts w:hint="eastAsia" w:cs="Times New Roman"/>
          <w:color w:val="auto"/>
          <w:highlight w:val="none"/>
          <w:lang w:val="en-US" w:eastAsia="zh-CN"/>
        </w:rPr>
        <w:t>3</w:t>
      </w:r>
      <w:r>
        <w:rPr>
          <w:rFonts w:hint="eastAsia" w:ascii="Times New Roman" w:hAnsi="Times New Roman" w:cs="Times New Roman"/>
          <w:color w:val="auto"/>
          <w:highlight w:val="none"/>
          <w:lang w:eastAsia="zh-CN"/>
        </w:rPr>
        <w:t>月</w:t>
      </w:r>
      <w:r>
        <w:rPr>
          <w:rFonts w:hint="eastAsia" w:cs="Times New Roman"/>
          <w:color w:val="auto"/>
          <w:highlight w:val="none"/>
          <w:lang w:val="en-US" w:eastAsia="zh-CN"/>
        </w:rPr>
        <w:t>10</w:t>
      </w:r>
      <w:r>
        <w:rPr>
          <w:rFonts w:hint="eastAsia" w:ascii="Times New Roman" w:hAnsi="Times New Roman" w:cs="Times New Roman"/>
          <w:color w:val="auto"/>
          <w:highlight w:val="none"/>
          <w:lang w:eastAsia="zh-CN"/>
        </w:rPr>
        <w:t>日，</w:t>
      </w:r>
      <w:r>
        <w:rPr>
          <w:rFonts w:hint="eastAsia"/>
          <w:color w:val="auto"/>
          <w:highlight w:val="none"/>
          <w:lang w:eastAsia="zh-CN"/>
        </w:rPr>
        <w:t>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eastAsia="zh-CN"/>
        </w:rPr>
        <w:t>202</w:t>
      </w:r>
      <w:r>
        <w:rPr>
          <w:rFonts w:hint="eastAsia" w:cs="Times New Roman"/>
          <w:color w:val="auto"/>
          <w:highlight w:val="none"/>
          <w:lang w:val="en-US" w:eastAsia="zh-CN"/>
        </w:rPr>
        <w:t>4</w:t>
      </w:r>
      <w:r>
        <w:rPr>
          <w:rFonts w:hint="eastAsia" w:ascii="Times New Roman" w:hAnsi="Times New Roman" w:cs="Times New Roman"/>
          <w:color w:val="auto"/>
          <w:highlight w:val="none"/>
          <w:lang w:eastAsia="zh-CN"/>
        </w:rPr>
        <w:t>年</w:t>
      </w:r>
      <w:r>
        <w:rPr>
          <w:rFonts w:hint="eastAsia" w:cs="Times New Roman"/>
          <w:color w:val="auto"/>
          <w:highlight w:val="none"/>
          <w:lang w:val="en-US" w:eastAsia="zh-CN"/>
        </w:rPr>
        <w:t>2</w:t>
      </w:r>
      <w:r>
        <w:rPr>
          <w:rFonts w:hint="eastAsia" w:ascii="Times New Roman" w:hAnsi="Times New Roman" w:cs="Times New Roman"/>
          <w:color w:val="auto"/>
          <w:highlight w:val="none"/>
          <w:lang w:eastAsia="zh-CN"/>
        </w:rPr>
        <w:t>月</w:t>
      </w:r>
      <w:r>
        <w:rPr>
          <w:rFonts w:hint="eastAsia" w:cs="Times New Roman"/>
          <w:color w:val="auto"/>
          <w:highlight w:val="none"/>
          <w:lang w:val="en-US" w:eastAsia="zh-CN"/>
        </w:rPr>
        <w:t>26</w:t>
      </w:r>
      <w:r>
        <w:rPr>
          <w:rFonts w:hint="eastAsia" w:ascii="Times New Roman" w:hAnsi="Times New Roman" w:cs="Times New Roman"/>
          <w:color w:val="auto"/>
          <w:highlight w:val="none"/>
          <w:lang w:eastAsia="zh-CN"/>
        </w:rPr>
        <w:t>日-</w:t>
      </w:r>
      <w:r>
        <w:rPr>
          <w:rFonts w:hint="eastAsia" w:cs="Times New Roman"/>
          <w:color w:val="auto"/>
          <w:highlight w:val="none"/>
          <w:lang w:val="en-US" w:eastAsia="zh-CN"/>
        </w:rPr>
        <w:t>3</w:t>
      </w:r>
      <w:r>
        <w:rPr>
          <w:rFonts w:hint="eastAsia" w:ascii="Times New Roman" w:hAnsi="Times New Roman" w:cs="Times New Roman"/>
          <w:color w:val="auto"/>
          <w:highlight w:val="none"/>
          <w:lang w:eastAsia="zh-CN"/>
        </w:rPr>
        <w:t>月</w:t>
      </w:r>
      <w:r>
        <w:rPr>
          <w:rFonts w:hint="eastAsia" w:cs="Times New Roman"/>
          <w:color w:val="auto"/>
          <w:highlight w:val="none"/>
          <w:lang w:val="en-US" w:eastAsia="zh-CN"/>
        </w:rPr>
        <w:t>15</w:t>
      </w:r>
      <w:r>
        <w:rPr>
          <w:rFonts w:hint="eastAsia" w:ascii="Times New Roman" w:hAnsi="Times New Roman" w:cs="Times New Roman"/>
          <w:color w:val="auto"/>
          <w:highlight w:val="none"/>
          <w:lang w:eastAsia="zh-CN"/>
        </w:rPr>
        <w:t>日</w:t>
      </w:r>
      <w:r>
        <w:rPr>
          <w:rFonts w:hint="eastAsia"/>
          <w:color w:val="auto"/>
          <w:highlight w:val="none"/>
          <w:lang w:eastAsia="zh-CN"/>
        </w:rPr>
        <w:t>，评价小组按照绩效评价的原则和规范，对取得的资料进行审查核实，对采集的数据进行分析，按照绩效评价指标评分表逐项进行打分、分析，汇总各方评价结果，综合分析并形成评价结论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4"/>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bidi w:val="0"/>
        <w:rPr>
          <w:rFonts w:hint="eastAsia" w:ascii="Times New Roman" w:hAnsi="Times New Roman" w:cs="Times New Roman"/>
          <w:color w:val="auto"/>
          <w:highlight w:val="none"/>
          <w:lang w:eastAsia="zh-CN"/>
        </w:rPr>
      </w:pPr>
      <w:bookmarkStart w:id="14" w:name="_Toc68364666"/>
      <w:r>
        <w:rPr>
          <w:rFonts w:hint="eastAsia"/>
          <w:color w:val="auto"/>
          <w:highlight w:val="none"/>
          <w:lang w:eastAsia="zh-CN"/>
        </w:rPr>
        <w:tab/>
      </w:r>
      <w:r>
        <w:rPr>
          <w:rFonts w:hint="eastAsia"/>
          <w:color w:val="auto"/>
          <w:highlight w:val="none"/>
          <w:lang w:eastAsia="zh-CN"/>
        </w:rPr>
        <w:t>经评价，本项目达到了年初设立的绩效目标，</w:t>
      </w:r>
      <w:r>
        <w:rPr>
          <w:rFonts w:hint="eastAsia"/>
          <w:color w:val="auto"/>
          <w:highlight w:val="none"/>
        </w:rPr>
        <w:t>项目总体组织规范，完成了工作目</w:t>
      </w:r>
      <w:r>
        <w:rPr>
          <w:rFonts w:hint="eastAsia" w:ascii="Times New Roman" w:hAnsi="Times New Roman" w:cs="Times New Roman"/>
          <w:color w:val="auto"/>
          <w:highlight w:val="none"/>
          <w:lang w:eastAsia="zh-CN"/>
        </w:rPr>
        <w:t>标，在实施过程中取得了良好的成效，具体表现在以下</w:t>
      </w:r>
      <w:r>
        <w:rPr>
          <w:rFonts w:hint="eastAsia" w:ascii="Times New Roman" w:hAnsi="Times New Roman" w:cs="Times New Roman"/>
          <w:color w:val="auto"/>
          <w:highlight w:val="none"/>
          <w:lang w:val="en-US" w:eastAsia="zh-Hans"/>
        </w:rPr>
        <w:t>四</w:t>
      </w:r>
      <w:r>
        <w:rPr>
          <w:rFonts w:hint="eastAsia" w:ascii="Times New Roman" w:hAnsi="Times New Roman" w:cs="Times New Roman"/>
          <w:color w:val="auto"/>
          <w:highlight w:val="none"/>
          <w:lang w:eastAsia="zh-CN"/>
        </w:rPr>
        <w:t>方面：</w:t>
      </w:r>
    </w:p>
    <w:p>
      <w:pPr>
        <w:bidi w:val="0"/>
        <w:rPr>
          <w:rFonts w:hint="eastAsia"/>
          <w:b/>
          <w:bCs/>
          <w:color w:val="auto"/>
          <w:highlight w:val="none"/>
        </w:rPr>
      </w:pPr>
      <w:r>
        <w:rPr>
          <w:rFonts w:hint="eastAsia" w:ascii="Times New Roman" w:hAnsi="Times New Roman" w:cs="Times New Roman"/>
          <w:color w:val="auto"/>
          <w:highlight w:val="none"/>
          <w:lang w:eastAsia="zh-CN"/>
        </w:rPr>
        <w:t>项目决策方面：</w:t>
      </w:r>
    </w:p>
    <w:p>
      <w:pPr>
        <w:bidi w:val="0"/>
        <w:rPr>
          <w:rFonts w:hint="eastAsia" w:ascii="Times New Roman" w:hAnsi="Times New Roman" w:cs="Times New Roman"/>
          <w:color w:val="auto"/>
          <w:highlight w:val="none"/>
        </w:rPr>
      </w:pPr>
      <w:r>
        <w:rPr>
          <w:rFonts w:hint="eastAsia" w:ascii="Times New Roman" w:hAnsi="Times New Roman" w:cs="Times New Roman"/>
          <w:color w:val="auto"/>
          <w:highlight w:val="none"/>
          <w:lang w:eastAsia="zh-CN"/>
        </w:rPr>
        <w:t>本单位困难群众救助</w:t>
      </w:r>
      <w:r>
        <w:rPr>
          <w:rFonts w:hint="eastAsia" w:ascii="Times New Roman" w:hAnsi="Times New Roman" w:cs="Times New Roman"/>
          <w:color w:val="auto"/>
          <w:highlight w:val="none"/>
        </w:rPr>
        <w:t>项目立项是合国家法律法规、国民经济发展规划和相关政策;项目立项符合行业发展规划和政策要求;项目立项与部门职责范围相符，属于部门履职所需；项目立项属于公共财政支持范围，是符合中央、地方事权支出责任划分原则；经检查财政项目指标大平台，本项目不存在重复。</w:t>
      </w:r>
    </w:p>
    <w:p>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w:t>
      </w:r>
      <w:r>
        <w:rPr>
          <w:rFonts w:hint="eastAsia" w:ascii="Times New Roman" w:hAnsi="Times New Roman" w:cs="Times New Roman"/>
          <w:color w:val="auto"/>
          <w:highlight w:val="none"/>
          <w:lang w:val="en-US" w:eastAsia="zh-CN"/>
        </w:rPr>
        <w:t>困难群众就住补助</w:t>
      </w:r>
      <w:r>
        <w:rPr>
          <w:rFonts w:hint="eastAsia" w:ascii="Times New Roman" w:hAnsi="Times New Roman" w:cs="Times New Roman"/>
          <w:color w:val="auto"/>
          <w:highlight w:val="none"/>
        </w:rPr>
        <w:t>程序</w:t>
      </w:r>
      <w:r>
        <w:rPr>
          <w:rFonts w:hint="eastAsia"/>
          <w:color w:val="auto"/>
          <w:highlight w:val="none"/>
        </w:rPr>
        <w:t>申请设立</w:t>
      </w:r>
      <w:r>
        <w:rPr>
          <w:rFonts w:hint="eastAsia"/>
          <w:color w:val="auto"/>
          <w:highlight w:val="none"/>
          <w:lang w:eastAsia="zh-CN"/>
        </w:rPr>
        <w:t>；</w:t>
      </w:r>
      <w:r>
        <w:rPr>
          <w:rFonts w:hint="eastAsia"/>
          <w:color w:val="auto"/>
          <w:highlight w:val="none"/>
        </w:rPr>
        <w:t>事前已经过必要的</w:t>
      </w:r>
      <w:r>
        <w:rPr>
          <w:rFonts w:hint="eastAsia" w:ascii="Times New Roman" w:hAnsi="Times New Roman" w:cs="Times New Roman"/>
          <w:color w:val="auto"/>
          <w:highlight w:val="none"/>
        </w:rPr>
        <w:t>绩效评估、</w:t>
      </w:r>
      <w:r>
        <w:rPr>
          <w:rFonts w:hint="eastAsia"/>
          <w:color w:val="auto"/>
          <w:highlight w:val="none"/>
        </w:rPr>
        <w:t>集体决策</w:t>
      </w:r>
      <w:r>
        <w:rPr>
          <w:rFonts w:hint="eastAsia"/>
          <w:color w:val="auto"/>
          <w:highlight w:val="none"/>
          <w:lang w:eastAsia="zh-CN"/>
        </w:rPr>
        <w:t>；</w:t>
      </w:r>
      <w:r>
        <w:rPr>
          <w:rFonts w:hint="eastAsia"/>
          <w:color w:val="auto"/>
          <w:highlight w:val="none"/>
          <w:lang w:val="en-US" w:eastAsia="zh-CN"/>
        </w:rPr>
        <w:t>单位按照程序</w:t>
      </w:r>
      <w:r>
        <w:rPr>
          <w:rFonts w:hint="eastAsia" w:ascii="Times New Roman" w:hAnsi="Times New Roman" w:cs="Times New Roman"/>
          <w:color w:val="auto"/>
          <w:highlight w:val="none"/>
          <w:lang w:val="en-US" w:eastAsia="zh-CN"/>
        </w:rPr>
        <w:t>向托克逊县人民政府提交了困难群众救助的相关申请报告等相关符合要求的申请</w:t>
      </w:r>
      <w:r>
        <w:rPr>
          <w:rFonts w:hint="eastAsia"/>
          <w:color w:val="auto"/>
          <w:highlight w:val="none"/>
        </w:rPr>
        <w:t>材料</w:t>
      </w:r>
      <w:r>
        <w:rPr>
          <w:rFonts w:hint="eastAsia"/>
          <w:color w:val="auto"/>
          <w:highlight w:val="none"/>
          <w:lang w:val="en-US" w:eastAsia="zh-CN"/>
        </w:rPr>
        <w:t>并通过审批,该项目是根据国家民政部关于困难群众救助有关政策实施，项目论证是由本级民政部门根据各乡镇实际上报、动态调整人员来决定，一般由前一年度12月数据为基础进行项目预算数的测算，测算结果有所偏差</w:t>
      </w:r>
      <w:r>
        <w:rPr>
          <w:rFonts w:hint="eastAsia"/>
          <w:color w:val="auto"/>
          <w:highlight w:val="none"/>
          <w:lang w:eastAsia="zh-CN"/>
        </w:rPr>
        <w:t>。</w:t>
      </w:r>
    </w:p>
    <w:p>
      <w:pPr>
        <w:bidi w:val="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eastAsia="zh-CN"/>
        </w:rPr>
        <w:t>项目管理方面：</w:t>
      </w:r>
      <w:r>
        <w:rPr>
          <w:rFonts w:hint="eastAsia" w:ascii="Times New Roman" w:hAnsi="Times New Roman" w:cs="Times New Roman"/>
          <w:color w:val="auto"/>
          <w:highlight w:val="none"/>
          <w:lang w:val="en-US" w:eastAsia="zh-CN"/>
        </w:rPr>
        <w:t>依据每月实际动态变动情况，给予特殊困难群众足额发放基本生活费以及部分补助，确保他们的基本生活得到保障</w:t>
      </w:r>
      <w:r>
        <w:rPr>
          <w:rFonts w:hint="eastAsia" w:ascii="Times New Roman" w:hAnsi="Times New Roman" w:cs="Times New Roman"/>
          <w:color w:val="auto"/>
          <w:highlight w:val="none"/>
          <w:lang w:eastAsia="zh-CN"/>
        </w:rPr>
        <w:t>。</w:t>
      </w:r>
      <w:r>
        <w:rPr>
          <w:rFonts w:hint="eastAsia" w:cs="Times New Roman"/>
          <w:color w:val="auto"/>
          <w:highlight w:val="none"/>
          <w:lang w:val="en-US" w:eastAsia="zh-CN"/>
        </w:rPr>
        <w:t>资金管理方面，资金到位、预算执行达100%，资金使用合规，管理制度健全、制度执行有效。</w:t>
      </w:r>
    </w:p>
    <w:p>
      <w:pPr>
        <w:pStyle w:val="7"/>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Times New Roman" w:hAnsi="Times New Roman" w:eastAsia="仿宋_GB2312" w:cs="Times New Roman"/>
          <w:color w:val="auto"/>
          <w:kern w:val="2"/>
          <w:sz w:val="28"/>
          <w:szCs w:val="24"/>
          <w:highlight w:val="none"/>
          <w:lang w:val="en-US" w:eastAsia="zh-CN" w:bidi="ar-SA"/>
        </w:rPr>
      </w:pPr>
      <w:r>
        <w:rPr>
          <w:rFonts w:hint="eastAsia" w:ascii="仿宋_GB2312" w:cs="仿宋_GB2312"/>
          <w:color w:val="auto"/>
          <w:sz w:val="28"/>
          <w:szCs w:val="28"/>
          <w:highlight w:val="none"/>
          <w:lang w:eastAsia="zh-CN"/>
        </w:rPr>
        <w:t>项目产出方面：</w:t>
      </w:r>
      <w:r>
        <w:rPr>
          <w:rFonts w:hint="eastAsia" w:ascii="Times New Roman" w:hAnsi="Times New Roman" w:eastAsia="仿宋_GB2312" w:cs="Times New Roman"/>
          <w:color w:val="auto"/>
          <w:kern w:val="2"/>
          <w:sz w:val="28"/>
          <w:szCs w:val="24"/>
          <w:highlight w:val="none"/>
          <w:lang w:val="en-US" w:eastAsia="zh-CN" w:bidi="ar-SA"/>
        </w:rPr>
        <w:t>向符合条件的城乡低保户</w:t>
      </w:r>
      <w:r>
        <w:rPr>
          <w:rFonts w:hint="eastAsia" w:cs="Times New Roman"/>
          <w:color w:val="auto"/>
          <w:kern w:val="2"/>
          <w:sz w:val="28"/>
          <w:szCs w:val="24"/>
          <w:highlight w:val="none"/>
          <w:lang w:val="en-US" w:eastAsia="zh-CN" w:bidi="ar-SA"/>
        </w:rPr>
        <w:t>1962</w:t>
      </w:r>
      <w:r>
        <w:rPr>
          <w:rFonts w:hint="eastAsia" w:ascii="Times New Roman" w:hAnsi="Times New Roman" w:eastAsia="仿宋_GB2312" w:cs="Times New Roman"/>
          <w:color w:val="auto"/>
          <w:kern w:val="2"/>
          <w:sz w:val="28"/>
          <w:szCs w:val="24"/>
          <w:highlight w:val="none"/>
          <w:lang w:val="en-US" w:eastAsia="zh-CN" w:bidi="ar-SA"/>
        </w:rPr>
        <w:t>户</w:t>
      </w:r>
      <w:r>
        <w:rPr>
          <w:rFonts w:hint="eastAsia" w:cs="Times New Roman"/>
          <w:color w:val="auto"/>
          <w:kern w:val="2"/>
          <w:sz w:val="28"/>
          <w:szCs w:val="24"/>
          <w:highlight w:val="none"/>
          <w:lang w:val="en-US" w:eastAsia="zh-CN" w:bidi="ar-SA"/>
        </w:rPr>
        <w:t>3465</w:t>
      </w:r>
      <w:r>
        <w:rPr>
          <w:rFonts w:hint="eastAsia" w:ascii="Times New Roman" w:hAnsi="Times New Roman" w:eastAsia="仿宋_GB2312" w:cs="Times New Roman"/>
          <w:color w:val="auto"/>
          <w:kern w:val="2"/>
          <w:sz w:val="28"/>
          <w:szCs w:val="24"/>
          <w:highlight w:val="none"/>
          <w:lang w:val="en-US" w:eastAsia="zh-CN" w:bidi="ar-SA"/>
        </w:rPr>
        <w:t>人</w:t>
      </w:r>
      <w:r>
        <w:rPr>
          <w:rFonts w:hint="eastAsia" w:cs="Times New Roman"/>
          <w:color w:val="auto"/>
          <w:kern w:val="2"/>
          <w:sz w:val="28"/>
          <w:szCs w:val="24"/>
          <w:highlight w:val="none"/>
          <w:lang w:val="en-US" w:eastAsia="zh-CN" w:bidi="ar-SA"/>
        </w:rPr>
        <w:t>，特困供养人员153人，孤儿21人，</w:t>
      </w:r>
      <w:r>
        <w:rPr>
          <w:rFonts w:hint="eastAsia" w:ascii="Times New Roman" w:hAnsi="Times New Roman" w:eastAsia="仿宋_GB2312" w:cs="Times New Roman"/>
          <w:color w:val="auto"/>
          <w:kern w:val="2"/>
          <w:sz w:val="28"/>
          <w:szCs w:val="24"/>
          <w:highlight w:val="none"/>
          <w:lang w:val="en-US" w:eastAsia="zh-CN" w:bidi="ar-SA"/>
        </w:rPr>
        <w:t>对因病、因灾、因意外事件、因疫情影响以及刚性支出较大或家庭收入骤减造成基本生活出现暂时性生活困难的家庭和个人足额发放救助金，项目按进度执行，完成质量按照预期确保了对城乡低保人员进行差额补助，为特困人员、临时救助人员、流浪乞讨人员、孤儿发放基本生活补助，保障困难群众基本生活需求。</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项目效益方面：不断提升社会兜底保障服务质量、健全困难群众基本生活救助保障制度目标基本达成目标。</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w:t>
      </w:r>
      <w:r>
        <w:rPr>
          <w:rFonts w:hint="eastAsia" w:ascii="Times New Roman" w:hAnsi="Times New Roman" w:cs="Times New Roman"/>
          <w:color w:val="auto"/>
          <w:highlight w:val="none"/>
          <w:lang w:val="en-US" w:eastAsia="zh-CN"/>
        </w:rPr>
        <w:t>法、公众评判法、因素分析法等对本项目绩效进行客观评价，最终评分结果：总分为</w:t>
      </w:r>
      <w:r>
        <w:rPr>
          <w:rFonts w:hint="eastAsia" w:cs="Times New Roman"/>
          <w:color w:val="auto"/>
          <w:highlight w:val="none"/>
          <w:lang w:val="en-US" w:eastAsia="zh-CN"/>
        </w:rPr>
        <w:t>98.21</w:t>
      </w:r>
      <w:r>
        <w:rPr>
          <w:rFonts w:hint="eastAsia" w:ascii="Times New Roman" w:hAnsi="Times New Roman" w:cs="Times New Roman"/>
          <w:color w:val="auto"/>
          <w:highlight w:val="none"/>
          <w:lang w:val="en-US" w:eastAsia="zh-CN"/>
        </w:rPr>
        <w:t>分，绩效评级为“优秀”。综合评价结论如下：本项目决策指标共设置</w:t>
      </w:r>
      <w:r>
        <w:rPr>
          <w:rFonts w:hint="eastAsia" w:cs="Times New Roman"/>
          <w:color w:val="auto"/>
          <w:highlight w:val="none"/>
          <w:lang w:val="en-US" w:eastAsia="zh-CN"/>
        </w:rPr>
        <w:t>6</w:t>
      </w:r>
      <w:r>
        <w:rPr>
          <w:rFonts w:hint="eastAsia" w:ascii="Times New Roman" w:hAnsi="Times New Roman" w:cs="Times New Roman"/>
          <w:color w:val="auto"/>
          <w:highlight w:val="none"/>
          <w:lang w:val="en-US" w:eastAsia="zh-CN"/>
        </w:rPr>
        <w:t>个，满分20分，得分率100%；项目过程指标共设置</w:t>
      </w:r>
      <w:r>
        <w:rPr>
          <w:rFonts w:hint="eastAsia" w:cs="Times New Roman"/>
          <w:color w:val="auto"/>
          <w:highlight w:val="none"/>
          <w:lang w:val="en-US" w:eastAsia="zh-CN"/>
        </w:rPr>
        <w:t>5</w:t>
      </w:r>
      <w:r>
        <w:rPr>
          <w:rFonts w:hint="eastAsia" w:ascii="Times New Roman" w:hAnsi="Times New Roman" w:cs="Times New Roman"/>
          <w:color w:val="auto"/>
          <w:highlight w:val="none"/>
          <w:lang w:val="en-US" w:eastAsia="zh-CN"/>
        </w:rPr>
        <w:t>个，满分20分，得分率</w:t>
      </w:r>
      <w:r>
        <w:rPr>
          <w:rFonts w:hint="eastAsia" w:cs="Times New Roman"/>
          <w:color w:val="auto"/>
          <w:highlight w:val="none"/>
          <w:lang w:val="en-US" w:eastAsia="zh-CN"/>
        </w:rPr>
        <w:t>98.8</w:t>
      </w:r>
      <w:r>
        <w:rPr>
          <w:rFonts w:hint="eastAsia" w:ascii="Times New Roman" w:hAnsi="Times New Roman" w:cs="Times New Roman"/>
          <w:color w:val="auto"/>
          <w:highlight w:val="none"/>
          <w:lang w:val="en-US" w:eastAsia="zh-CN"/>
        </w:rPr>
        <w:t>%；项目产出指标共设置</w:t>
      </w:r>
      <w:r>
        <w:rPr>
          <w:rFonts w:hint="eastAsia" w:cs="Times New Roman"/>
          <w:color w:val="auto"/>
          <w:highlight w:val="none"/>
          <w:lang w:val="en-US" w:eastAsia="zh-CN"/>
        </w:rPr>
        <w:t>17</w:t>
      </w:r>
      <w:r>
        <w:rPr>
          <w:rFonts w:hint="eastAsia" w:ascii="Times New Roman" w:hAnsi="Times New Roman" w:cs="Times New Roman"/>
          <w:color w:val="auto"/>
          <w:highlight w:val="none"/>
          <w:lang w:val="en-US" w:eastAsia="zh-CN"/>
        </w:rPr>
        <w:t>个，满分</w:t>
      </w:r>
      <w:r>
        <w:rPr>
          <w:rFonts w:hint="eastAsia" w:cs="Times New Roman"/>
          <w:color w:val="auto"/>
          <w:highlight w:val="none"/>
          <w:lang w:val="en-US" w:eastAsia="zh-CN"/>
        </w:rPr>
        <w:t>24</w:t>
      </w:r>
      <w:r>
        <w:rPr>
          <w:rFonts w:hint="eastAsia" w:ascii="Times New Roman" w:hAnsi="Times New Roman" w:cs="Times New Roman"/>
          <w:color w:val="auto"/>
          <w:highlight w:val="none"/>
          <w:lang w:val="en-US" w:eastAsia="zh-CN"/>
        </w:rPr>
        <w:t>分，得分率</w:t>
      </w:r>
      <w:r>
        <w:rPr>
          <w:rFonts w:hint="eastAsia" w:cs="Times New Roman"/>
          <w:color w:val="auto"/>
          <w:highlight w:val="none"/>
          <w:lang w:val="en-US" w:eastAsia="zh-CN"/>
        </w:rPr>
        <w:t>96.29</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成本指标</w:t>
      </w:r>
      <w:r>
        <w:rPr>
          <w:rFonts w:hint="eastAsia" w:ascii="Times New Roman" w:hAnsi="Times New Roman" w:cs="Times New Roman"/>
          <w:color w:val="auto"/>
          <w:highlight w:val="none"/>
          <w:lang w:val="en-US" w:eastAsia="zh-CN"/>
        </w:rPr>
        <w:t>共设置</w:t>
      </w:r>
      <w:r>
        <w:rPr>
          <w:rFonts w:hint="eastAsia" w:cs="Times New Roman"/>
          <w:color w:val="auto"/>
          <w:highlight w:val="none"/>
          <w:lang w:val="en-US" w:eastAsia="zh-CN"/>
        </w:rPr>
        <w:t>10</w:t>
      </w:r>
      <w:r>
        <w:rPr>
          <w:rFonts w:hint="eastAsia" w:ascii="Times New Roman" w:hAnsi="Times New Roman" w:cs="Times New Roman"/>
          <w:color w:val="auto"/>
          <w:highlight w:val="none"/>
          <w:lang w:val="en-US" w:eastAsia="zh-CN"/>
        </w:rPr>
        <w:t>个，满分</w:t>
      </w:r>
      <w:r>
        <w:rPr>
          <w:rFonts w:hint="eastAsia" w:cs="Times New Roman"/>
          <w:color w:val="auto"/>
          <w:highlight w:val="none"/>
          <w:lang w:val="en-US" w:eastAsia="zh-CN"/>
        </w:rPr>
        <w:t>12</w:t>
      </w:r>
      <w:r>
        <w:rPr>
          <w:rFonts w:hint="eastAsia" w:ascii="Times New Roman" w:hAnsi="Times New Roman" w:cs="Times New Roman"/>
          <w:color w:val="auto"/>
          <w:highlight w:val="none"/>
          <w:lang w:val="en-US" w:eastAsia="zh-CN"/>
        </w:rPr>
        <w:t>分，得分率</w:t>
      </w:r>
      <w:r>
        <w:rPr>
          <w:rFonts w:hint="eastAsia" w:cs="Times New Roman"/>
          <w:color w:val="auto"/>
          <w:highlight w:val="none"/>
          <w:lang w:val="en-US" w:eastAsia="zh-CN"/>
        </w:rPr>
        <w:t>94.5</w:t>
      </w:r>
      <w:r>
        <w:rPr>
          <w:rFonts w:hint="eastAsia" w:ascii="Times New Roman" w:hAnsi="Times New Roman" w:cs="Times New Roman"/>
          <w:color w:val="auto"/>
          <w:highlight w:val="none"/>
          <w:lang w:val="en-US" w:eastAsia="zh-CN"/>
        </w:rPr>
        <w:t>%；项目效益指标共设置</w:t>
      </w:r>
      <w:r>
        <w:rPr>
          <w:rFonts w:hint="eastAsia" w:cs="Times New Roman"/>
          <w:color w:val="auto"/>
          <w:highlight w:val="none"/>
          <w:lang w:val="en-US" w:eastAsia="zh-CN"/>
        </w:rPr>
        <w:t>4</w:t>
      </w:r>
      <w:r>
        <w:rPr>
          <w:rFonts w:hint="eastAsia" w:ascii="Times New Roman" w:hAnsi="Times New Roman" w:cs="Times New Roman"/>
          <w:color w:val="auto"/>
          <w:highlight w:val="none"/>
          <w:lang w:val="en-US" w:eastAsia="zh-CN"/>
        </w:rPr>
        <w:t>个，满分</w:t>
      </w:r>
      <w:r>
        <w:rPr>
          <w:rFonts w:hint="eastAsia" w:cs="Times New Roman"/>
          <w:color w:val="auto"/>
          <w:highlight w:val="none"/>
          <w:lang w:val="en-US" w:eastAsia="zh-CN"/>
        </w:rPr>
        <w:t>24</w:t>
      </w:r>
      <w:r>
        <w:rPr>
          <w:rFonts w:hint="eastAsia" w:ascii="Times New Roman" w:hAnsi="Times New Roman" w:cs="Times New Roman"/>
          <w:color w:val="auto"/>
          <w:highlight w:val="none"/>
          <w:lang w:val="en-US" w:eastAsia="zh-CN"/>
        </w:rPr>
        <w:t>分，得分率100%。</w:t>
      </w:r>
    </w:p>
    <w:p>
      <w:pPr>
        <w:pStyle w:val="3"/>
        <w:numPr>
          <w:ilvl w:val="0"/>
          <w:numId w:val="4"/>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ascii="Times New Roman" w:hAnsi="Times New Roman" w:cs="Times New Roman"/>
          <w:color w:val="auto"/>
          <w:highlight w:val="none"/>
        </w:rPr>
      </w:pPr>
      <w:r>
        <w:rPr>
          <w:rFonts w:hint="eastAsia" w:ascii="Times New Roman" w:hAnsi="Times New Roman" w:cs="Times New Roman"/>
          <w:color w:val="auto"/>
          <w:highlight w:val="none"/>
          <w:lang w:eastAsia="zh-CN"/>
        </w:rPr>
        <w:t>本单位困难群众救助</w:t>
      </w:r>
      <w:r>
        <w:rPr>
          <w:rFonts w:hint="eastAsia" w:ascii="Times New Roman" w:hAnsi="Times New Roman" w:cs="Times New Roman"/>
          <w:color w:val="auto"/>
          <w:highlight w:val="none"/>
        </w:rPr>
        <w:t>项目立项是合国家法律法规、国民经济发展规划和相关政策;项目立项符合行业发展规划和政策要求;项目立项与部门职责范围相符，属于部门履职所需；项目立项属于公共财政支持范围，是符合中央、地方事权支出责任划分原则；经检查财政项目指标大平台，本项目不存在重复。综上，该指标满分</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rPr>
        <w:t>分，根据评分标准得</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rPr>
        <w:t>分</w:t>
      </w:r>
      <w:r>
        <w:rPr>
          <w:rFonts w:hint="eastAsia" w:ascii="Times New Roman" w:hAnsi="Times New Roman" w:cs="Times New Roman"/>
          <w:color w:val="auto"/>
          <w:highlight w:val="none"/>
          <w:lang w:eastAsia="zh-CN"/>
        </w:rPr>
        <w:t>，本项目立项依据充分</w:t>
      </w:r>
      <w:r>
        <w:rPr>
          <w:rFonts w:hint="eastAsia" w:ascii="Times New Roman" w:hAnsi="Times New Roman" w:cs="Times New Roman"/>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color w:val="auto"/>
          <w:highlight w:val="none"/>
        </w:rPr>
      </w:pPr>
      <w:r>
        <w:rPr>
          <w:rFonts w:hint="eastAsia"/>
          <w:color w:val="auto"/>
          <w:highlight w:val="none"/>
          <w:lang w:val="en-US" w:eastAsia="zh-CN"/>
        </w:rPr>
        <w:t>该</w:t>
      </w:r>
      <w:r>
        <w:rPr>
          <w:rFonts w:hint="eastAsia"/>
          <w:color w:val="auto"/>
          <w:highlight w:val="none"/>
        </w:rPr>
        <w:t>项目按照规定的</w:t>
      </w:r>
      <w:r>
        <w:rPr>
          <w:rFonts w:hint="eastAsia" w:ascii="Times New Roman" w:hAnsi="Times New Roman" w:cs="Times New Roman"/>
          <w:color w:val="auto"/>
          <w:highlight w:val="none"/>
          <w:lang w:val="en-US" w:eastAsia="zh-CN"/>
        </w:rPr>
        <w:t>困难群众就住补助</w:t>
      </w:r>
      <w:r>
        <w:rPr>
          <w:rFonts w:hint="eastAsia" w:ascii="Times New Roman" w:hAnsi="Times New Roman" w:cs="Times New Roman"/>
          <w:color w:val="auto"/>
          <w:highlight w:val="none"/>
        </w:rPr>
        <w:t>程序</w:t>
      </w:r>
      <w:r>
        <w:rPr>
          <w:rFonts w:hint="eastAsia"/>
          <w:color w:val="auto"/>
          <w:highlight w:val="none"/>
        </w:rPr>
        <w:t>申请设立</w:t>
      </w:r>
      <w:r>
        <w:rPr>
          <w:rFonts w:hint="eastAsia"/>
          <w:color w:val="auto"/>
          <w:highlight w:val="none"/>
          <w:lang w:eastAsia="zh-CN"/>
        </w:rPr>
        <w:t>；</w:t>
      </w:r>
      <w:r>
        <w:rPr>
          <w:rFonts w:hint="eastAsia"/>
          <w:color w:val="auto"/>
          <w:highlight w:val="none"/>
        </w:rPr>
        <w:t>事前已经过必要的</w:t>
      </w:r>
      <w:r>
        <w:rPr>
          <w:rFonts w:hint="eastAsia" w:ascii="Times New Roman" w:hAnsi="Times New Roman" w:cs="Times New Roman"/>
          <w:color w:val="auto"/>
          <w:highlight w:val="none"/>
        </w:rPr>
        <w:t>绩效评估、</w:t>
      </w:r>
      <w:r>
        <w:rPr>
          <w:rFonts w:hint="eastAsia"/>
          <w:color w:val="auto"/>
          <w:highlight w:val="none"/>
        </w:rPr>
        <w:t>集体决策</w:t>
      </w:r>
      <w:r>
        <w:rPr>
          <w:rFonts w:hint="eastAsia"/>
          <w:color w:val="auto"/>
          <w:highlight w:val="none"/>
          <w:lang w:eastAsia="zh-CN"/>
        </w:rPr>
        <w:t>；</w:t>
      </w:r>
      <w:r>
        <w:rPr>
          <w:rFonts w:hint="eastAsia"/>
          <w:color w:val="auto"/>
          <w:highlight w:val="none"/>
          <w:lang w:val="en-US" w:eastAsia="zh-CN"/>
        </w:rPr>
        <w:t>单位按照程序</w:t>
      </w:r>
      <w:r>
        <w:rPr>
          <w:rFonts w:hint="eastAsia" w:ascii="Times New Roman" w:hAnsi="Times New Roman" w:cs="Times New Roman"/>
          <w:color w:val="auto"/>
          <w:highlight w:val="none"/>
          <w:lang w:val="en-US" w:eastAsia="zh-CN"/>
        </w:rPr>
        <w:t>向托克逊县人民政府提交了困难群众救助的相关申请报告等相关符合要求的申请</w:t>
      </w:r>
      <w:r>
        <w:rPr>
          <w:rFonts w:hint="eastAsia"/>
          <w:color w:val="auto"/>
          <w:highlight w:val="none"/>
        </w:rPr>
        <w:t>材料</w:t>
      </w:r>
      <w:r>
        <w:rPr>
          <w:rFonts w:hint="eastAsia"/>
          <w:color w:val="auto"/>
          <w:highlight w:val="none"/>
          <w:lang w:val="en-US" w:eastAsia="zh-CN"/>
        </w:rPr>
        <w:t>并通过审批,该项目是根据国家民政部关于困难群众救助有关政策实施，项目论证是由本级民政部门根据各乡镇实际上报、动态调整人员来决定，一般由前一年度12月数据为基础进行项目预算数的测算，测算结果有所偏差</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ascii="Times New Roman" w:hAnsi="Times New Roman" w:cs="Times New Roman"/>
          <w:color w:val="auto"/>
          <w:highlight w:val="none"/>
          <w:lang w:val="en-US" w:eastAsia="zh-CN"/>
        </w:rPr>
        <w:t>对城乡低保人员进行差额补助，为特困人员、临时救助人员、流浪乞讨人员、孤儿发放基本生活补助，根据实际情况发放临时救助物资和救助金，保障困难群众基本生活需求</w:t>
      </w:r>
      <w:r>
        <w:rPr>
          <w:rFonts w:hint="eastAsia" w:ascii="Times New Roman" w:hAnsi="Times New Roman" w:cs="Times New Roman"/>
          <w:color w:val="auto"/>
          <w:highlight w:val="none"/>
          <w:lang w:eastAsia="zh-CN"/>
        </w:rPr>
        <w:t>。</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w:t>
      </w:r>
      <w:r>
        <w:rPr>
          <w:rFonts w:hint="eastAsia" w:ascii="Times New Roman" w:hAnsi="Times New Roman" w:cs="Times New Roman"/>
          <w:color w:val="auto"/>
          <w:highlight w:val="none"/>
        </w:rPr>
        <w:t>完成</w:t>
      </w:r>
      <w:r>
        <w:rPr>
          <w:rFonts w:hint="eastAsia" w:ascii="Times New Roman" w:hAnsi="Times New Roman" w:cs="Times New Roman"/>
          <w:color w:val="auto"/>
          <w:highlight w:val="none"/>
          <w:lang w:val="en-US" w:eastAsia="zh-CN"/>
        </w:rPr>
        <w:t>了各</w:t>
      </w:r>
      <w:r>
        <w:rPr>
          <w:rFonts w:hint="eastAsia"/>
          <w:color w:val="auto"/>
          <w:highlight w:val="none"/>
          <w:lang w:val="en-US" w:eastAsia="zh-CN"/>
        </w:rPr>
        <w:t>项产出指标和效益指标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s="Times New Roman"/>
          <w:color w:val="auto"/>
          <w:highlight w:val="none"/>
          <w:lang w:val="en-US" w:eastAsia="zh-CN"/>
        </w:rPr>
        <w:t>1835</w:t>
      </w:r>
      <w:r>
        <w:rPr>
          <w:rFonts w:ascii="Times New Roman" w:hAnsi="Times New Roman" w:cs="Times New Roman"/>
          <w:color w:val="auto"/>
          <w:highlight w:val="none"/>
        </w:rPr>
        <w:t>万元，</w:t>
      </w:r>
      <w:r>
        <w:rPr>
          <w:color w:val="auto"/>
          <w:highlight w:val="none"/>
        </w:rPr>
        <w:t>《财政项目支出绩效目标表</w:t>
      </w:r>
      <w:r>
        <w:rPr>
          <w:rFonts w:hint="eastAsia"/>
          <w:color w:val="auto"/>
          <w:highlight w:val="none"/>
        </w:rPr>
        <w:t>》</w:t>
      </w:r>
      <w:r>
        <w:rPr>
          <w:color w:val="auto"/>
          <w:highlight w:val="none"/>
        </w:rPr>
        <w:t>中预算金额为</w:t>
      </w:r>
      <w:r>
        <w:rPr>
          <w:rFonts w:hint="eastAsia" w:cs="Times New Roman"/>
          <w:color w:val="auto"/>
          <w:highlight w:val="none"/>
          <w:lang w:val="en-US" w:eastAsia="zh-CN"/>
        </w:rPr>
        <w:t>1835</w:t>
      </w:r>
      <w:r>
        <w:rPr>
          <w:rFonts w:hint="eastAsia" w:ascii="Times New Roman" w:hAnsi="Times New Roman" w:cs="Times New Roman"/>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93.55</w:t>
      </w:r>
      <w:r>
        <w:rPr>
          <w:rFonts w:hint="eastAsia"/>
          <w:color w:val="auto"/>
          <w:highlight w:val="none"/>
          <w:lang w:eastAsia="zh-CN"/>
        </w:rPr>
        <w:t>%；</w:t>
      </w:r>
    </w:p>
    <w:p>
      <w:pP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hAnsi="Times New Roman" w:cs="仿宋_GB2312"/>
          <w:color w:val="auto"/>
          <w:szCs w:val="28"/>
          <w:highlight w:val="none"/>
          <w:lang w:val="en-US" w:eastAsia="zh-CN"/>
        </w:rPr>
        <w:t>3</w:t>
      </w:r>
      <w:r>
        <w:rPr>
          <w:rFonts w:hint="eastAsia" w:ascii="仿宋_GB2312" w:hAnsi="Times New Roman" w:cs="仿宋_GB2312"/>
          <w:color w:val="auto"/>
          <w:szCs w:val="28"/>
          <w:highlight w:val="none"/>
          <w:lang w:eastAsia="zh-CN"/>
        </w:rPr>
        <w:t>分</w:t>
      </w:r>
      <w:r>
        <w:rPr>
          <w:rFonts w:hint="eastAsia" w:ascii="仿宋_GB2312" w:cs="仿宋_GB2312"/>
          <w:color w:val="auto"/>
          <w:szCs w:val="28"/>
          <w:highlight w:val="none"/>
          <w:lang w:eastAsia="zh-CN"/>
        </w:rPr>
        <w:t>，本项目所设置绩效指标明确。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cs="Times New Roman"/>
          <w:color w:val="auto"/>
          <w:highlight w:val="none"/>
          <w:lang w:val="en-US" w:eastAsia="zh-CN"/>
        </w:rPr>
        <w:t>1835</w:t>
      </w:r>
      <w:r>
        <w:rPr>
          <w:rFonts w:hint="eastAsia" w:ascii="Times New Roman" w:hAnsi="Times New Roman" w:cs="Times New Roman"/>
          <w:color w:val="auto"/>
          <w:highlight w:val="none"/>
          <w:lang w:val="en-US" w:eastAsia="zh-CN"/>
        </w:rPr>
        <w:t>万元，主要用于支付困难群众就住资金，预算内容与项目内容匹配；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w:t>
      </w:r>
      <w:r>
        <w:rPr>
          <w:rFonts w:hint="eastAsia" w:ascii="Times New Roman" w:hAnsi="Times New Roman" w:cs="Times New Roman"/>
          <w:color w:val="auto"/>
          <w:highlight w:val="none"/>
          <w:lang w:eastAsia="zh-CN"/>
        </w:rPr>
        <w:t>申请中严格按照单位标准和数量进行核算，预算额度测算依据充分，按照标准编制；</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lang w:eastAsia="zh-CN"/>
        </w:rPr>
      </w:pPr>
      <w:r>
        <w:rPr>
          <w:rFonts w:hint="eastAsia"/>
          <w:color w:val="auto"/>
          <w:highlight w:val="none"/>
        </w:rPr>
        <w:t>④</w:t>
      </w:r>
      <w:r>
        <w:rPr>
          <w:rFonts w:hint="eastAsia" w:ascii="仿宋_GB2312" w:cs="仿宋_GB2312"/>
          <w:color w:val="auto"/>
          <w:sz w:val="28"/>
          <w:szCs w:val="28"/>
          <w:highlight w:val="none"/>
          <w:lang w:val="en-US" w:eastAsia="zh-CN"/>
        </w:rPr>
        <w:t>本项目资金主要用</w:t>
      </w:r>
      <w:r>
        <w:rPr>
          <w:rFonts w:hint="eastAsia" w:cs="Times New Roman"/>
          <w:b w:val="0"/>
          <w:bCs w:val="0"/>
          <w:color w:val="auto"/>
          <w:highlight w:val="none"/>
          <w:lang w:val="en-US" w:eastAsia="zh-CN"/>
        </w:rPr>
        <w:t>支付城乡低保1418.54万元，孤儿基本生活费28.5万元，，特困人员救助补助207.49万元，临时救助资金67.74万元，流浪乞讨1.59万元。</w:t>
      </w:r>
      <w:r>
        <w:rPr>
          <w:rFonts w:hint="eastAsia" w:ascii="Times New Roman" w:hAnsi="Times New Roman" w:cs="Times New Roman"/>
          <w:b w:val="0"/>
          <w:bCs w:val="0"/>
          <w:color w:val="auto"/>
          <w:highlight w:val="none"/>
        </w:rPr>
        <w:t>预算确定资金量与实际工作任务相匹配。</w:t>
      </w: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w:t>
      </w:r>
      <w:r>
        <w:rPr>
          <w:rFonts w:hint="eastAsia" w:ascii="Times New Roman" w:hAnsi="Times New Roman" w:cs="Times New Roman"/>
          <w:b w:val="0"/>
          <w:bCs w:val="0"/>
          <w:color w:val="auto"/>
          <w:highlight w:val="none"/>
          <w:lang w:val="en-US" w:eastAsia="zh-CN"/>
        </w:rPr>
        <w:t>标准得4分，本项目预算编制科学。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w:t>
      </w:r>
      <w:r>
        <w:rPr>
          <w:rFonts w:hint="eastAsia" w:ascii="仿宋_GB2312" w:hAnsi="Times New Roman" w:cs="仿宋_GB2312"/>
          <w:color w:val="auto"/>
          <w:sz w:val="28"/>
          <w:szCs w:val="28"/>
          <w:highlight w:val="none"/>
        </w:rPr>
        <w:t>配资金以</w:t>
      </w:r>
      <w:r>
        <w:rPr>
          <w:rFonts w:hint="eastAsia" w:ascii="仿宋_GB2312" w:hAnsi="Times New Roman" w:cs="仿宋_GB2312"/>
          <w:color w:val="auto"/>
          <w:sz w:val="28"/>
          <w:szCs w:val="28"/>
          <w:highlight w:val="none"/>
          <w:lang w:val="en-US" w:eastAsia="zh-CN"/>
        </w:rPr>
        <w:t>《关于提高全区困难群众基本生活救助保障标准的通知》</w:t>
      </w:r>
      <w:r>
        <w:rPr>
          <w:rFonts w:hint="eastAsia" w:ascii="仿宋_GB2312" w:hAnsi="Times New Roman" w:cs="仿宋_GB2312"/>
          <w:color w:val="auto"/>
          <w:sz w:val="28"/>
          <w:szCs w:val="28"/>
          <w:highlight w:val="none"/>
        </w:rPr>
        <w:t>文件</w:t>
      </w:r>
      <w:r>
        <w:rPr>
          <w:rFonts w:hint="eastAsia" w:ascii="仿宋_GB2312" w:cs="仿宋_GB2312"/>
          <w:color w:val="auto"/>
          <w:sz w:val="28"/>
          <w:szCs w:val="28"/>
          <w:highlight w:val="none"/>
        </w:rPr>
        <w:t>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1835</w:t>
      </w:r>
      <w:r>
        <w:rPr>
          <w:rFonts w:hint="eastAsia" w:ascii="仿宋_GB2312" w:hAnsi="Times New Roman" w:cs="仿宋_GB2312"/>
          <w:color w:val="auto"/>
          <w:sz w:val="28"/>
          <w:szCs w:val="28"/>
          <w:highlight w:val="none"/>
        </w:rPr>
        <w:t>万元，</w:t>
      </w:r>
      <w:r>
        <w:rPr>
          <w:rFonts w:hint="eastAsia" w:ascii="仿宋_GB2312" w:cs="仿宋_GB2312"/>
          <w:color w:val="auto"/>
          <w:sz w:val="28"/>
          <w:szCs w:val="28"/>
          <w:highlight w:val="none"/>
        </w:rPr>
        <w:t>实际分配资金与我单位提交申请的资金额度一致，资金分配额度合理，与我单位实际需求相适应</w:t>
      </w:r>
      <w:r>
        <w:rPr>
          <w:rFonts w:hint="eastAsia" w:cs="仿宋_GB2312"/>
          <w:color w:val="auto"/>
          <w:sz w:val="28"/>
          <w:szCs w:val="28"/>
          <w:highlight w:val="none"/>
          <w:lang w:eastAsia="zh-CN"/>
        </w:rPr>
        <w:t>。</w:t>
      </w: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w:t>
      </w:r>
      <w:r>
        <w:rPr>
          <w:rFonts w:hint="eastAsia" w:ascii="仿宋_GB2312" w:hAnsi="Times New Roman" w:cs="仿宋_GB2312"/>
          <w:color w:val="auto"/>
          <w:sz w:val="28"/>
          <w:szCs w:val="28"/>
          <w:highlight w:val="none"/>
        </w:rPr>
        <w:t>标准得</w:t>
      </w:r>
      <w:r>
        <w:rPr>
          <w:rFonts w:hint="eastAsia" w:ascii="仿宋_GB2312" w:hAnsi="Times New Roman" w:cs="仿宋_GB2312"/>
          <w:color w:val="auto"/>
          <w:sz w:val="28"/>
          <w:szCs w:val="28"/>
          <w:highlight w:val="none"/>
          <w:lang w:val="en-US" w:eastAsia="zh-CN"/>
        </w:rPr>
        <w:t>2</w:t>
      </w:r>
      <w:r>
        <w:rPr>
          <w:rFonts w:hint="eastAsia" w:ascii="仿宋_GB2312" w:hAnsi="Times New Roman" w:cs="仿宋_GB2312"/>
          <w:color w:val="auto"/>
          <w:sz w:val="28"/>
          <w:szCs w:val="28"/>
          <w:highlight w:val="none"/>
        </w:rPr>
        <w:t>分，</w:t>
      </w:r>
      <w:r>
        <w:rPr>
          <w:rFonts w:hint="eastAsia" w:ascii="仿宋_GB2312" w:cs="仿宋_GB2312"/>
          <w:color w:val="auto"/>
          <w:sz w:val="28"/>
          <w:szCs w:val="28"/>
          <w:highlight w:val="none"/>
        </w:rPr>
        <w:t>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w:t>
      </w:r>
      <w:r>
        <w:rPr>
          <w:rFonts w:hint="eastAsia" w:ascii="Times New Roman" w:hAnsi="Times New Roman" w:cs="Times New Roman"/>
          <w:color w:val="auto"/>
          <w:highlight w:val="none"/>
          <w:lang w:eastAsia="zh-CN"/>
        </w:rPr>
        <w:t>分</w:t>
      </w:r>
      <w:r>
        <w:rPr>
          <w:rFonts w:hint="eastAsia" w:cs="Times New Roman"/>
          <w:color w:val="auto"/>
          <w:highlight w:val="none"/>
          <w:lang w:val="en-US" w:eastAsia="zh-CN"/>
        </w:rPr>
        <w:t>19.76</w:t>
      </w:r>
      <w:r>
        <w:rPr>
          <w:rFonts w:hint="eastAsia" w:ascii="Times New Roman" w:hAnsi="Times New Roman" w:cs="Times New Roman"/>
          <w:color w:val="auto"/>
          <w:highlight w:val="none"/>
          <w:lang w:eastAsia="zh-CN"/>
        </w:rPr>
        <w:t>分，得分率为</w:t>
      </w:r>
      <w:r>
        <w:rPr>
          <w:rFonts w:hint="eastAsia" w:cs="Times New Roman"/>
          <w:color w:val="auto"/>
          <w:highlight w:val="none"/>
          <w:lang w:val="en-US" w:eastAsia="zh-CN"/>
        </w:rPr>
        <w:t>98.8</w:t>
      </w:r>
      <w:r>
        <w:rPr>
          <w:rFonts w:hint="eastAsia" w:ascii="Times New Roman" w:hAnsi="Times New Roman" w:cs="Times New Roman"/>
          <w:color w:val="auto"/>
          <w:highlight w:val="none"/>
          <w:lang w:eastAsia="zh-CN"/>
        </w:rPr>
        <w:t>%。</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w:t>
      </w:r>
      <w:r>
        <w:rPr>
          <w:rFonts w:hint="eastAsia" w:ascii="Times New Roman" w:hAnsi="Times New Roman" w:cs="Times New Roman"/>
          <w:color w:val="auto"/>
          <w:highlight w:val="none"/>
        </w:rPr>
        <w:t>资金为</w:t>
      </w:r>
      <w:r>
        <w:rPr>
          <w:rFonts w:hint="eastAsia" w:cs="Times New Roman"/>
          <w:color w:val="auto"/>
          <w:highlight w:val="none"/>
          <w:lang w:val="en-US" w:eastAsia="zh-CN"/>
        </w:rPr>
        <w:t>1835</w:t>
      </w:r>
      <w:r>
        <w:rPr>
          <w:rFonts w:hint="eastAsia" w:ascii="Times New Roman" w:hAnsi="Times New Roman" w:cs="Times New Roman"/>
          <w:color w:val="auto"/>
          <w:highlight w:val="none"/>
        </w:rPr>
        <w:t>万元，实际到位资金</w:t>
      </w:r>
      <w:r>
        <w:rPr>
          <w:rFonts w:hint="eastAsia" w:cs="Times New Roman"/>
          <w:color w:val="auto"/>
          <w:highlight w:val="none"/>
          <w:lang w:val="en-US" w:eastAsia="zh-CN"/>
        </w:rPr>
        <w:t>1835</w:t>
      </w:r>
      <w:r>
        <w:rPr>
          <w:rFonts w:hint="eastAsia" w:ascii="Times New Roman" w:hAnsi="Times New Roman" w:cs="Times New Roman"/>
          <w:color w:val="auto"/>
          <w:highlight w:val="none"/>
        </w:rPr>
        <w:t>万元，资金到位率=（实际到位资金/预算资金）×100%=</w:t>
      </w:r>
      <w:r>
        <w:rPr>
          <w:rFonts w:hint="eastAsia" w:ascii="Times New Roman" w:hAnsi="Times New Roman" w:cs="Times New Roman"/>
          <w:color w:val="auto"/>
          <w:highlight w:val="none"/>
          <w:lang w:val="en-US" w:eastAsia="zh-CN"/>
        </w:rPr>
        <w:t>100</w:t>
      </w:r>
      <w:r>
        <w:rPr>
          <w:rFonts w:hint="eastAsia" w:ascii="Times New Roman" w:hAnsi="Times New Roman" w:cs="Times New Roman"/>
          <w:color w:val="auto"/>
          <w:highlight w:val="none"/>
        </w:rPr>
        <w:t>%。</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rPr>
        <w:t>综上所述，本指标满分为</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rPr>
        <w:t>分，根据评分标准得</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rPr>
        <w:t>分,本项目资金到位率为</w:t>
      </w:r>
      <w:r>
        <w:rPr>
          <w:rFonts w:hint="eastAsia" w:ascii="Times New Roman" w:hAnsi="Times New Roman" w:cs="Times New Roman"/>
          <w:color w:val="auto"/>
          <w:highlight w:val="none"/>
          <w:lang w:val="en-US" w:eastAsia="zh-CN"/>
        </w:rPr>
        <w:t>100</w:t>
      </w: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本项目</w:t>
      </w:r>
      <w:r>
        <w:rPr>
          <w:rFonts w:hint="eastAsia" w:ascii="仿宋_GB2312" w:hAnsi="Times New Roman" w:cs="仿宋_GB2312"/>
          <w:color w:val="auto"/>
          <w:sz w:val="28"/>
          <w:szCs w:val="28"/>
          <w:highlight w:val="none"/>
          <w:lang w:val="en-US" w:eastAsia="zh-CN"/>
        </w:rPr>
        <w:t>到位</w:t>
      </w:r>
      <w:r>
        <w:rPr>
          <w:rFonts w:hint="eastAsia" w:ascii="仿宋_GB2312" w:hAnsi="Times New Roman" w:cs="仿宋_GB2312"/>
          <w:color w:val="auto"/>
          <w:sz w:val="28"/>
          <w:szCs w:val="28"/>
          <w:highlight w:val="none"/>
        </w:rPr>
        <w:t>资金为</w:t>
      </w:r>
      <w:r>
        <w:rPr>
          <w:rFonts w:hint="eastAsia" w:cs="Times New Roman"/>
          <w:color w:val="auto"/>
          <w:highlight w:val="none"/>
          <w:lang w:val="en-US" w:eastAsia="zh-CN"/>
        </w:rPr>
        <w:t>1835</w:t>
      </w:r>
      <w:r>
        <w:rPr>
          <w:rFonts w:hint="eastAsia" w:ascii="仿宋_GB2312" w:hAnsi="Times New Roman" w:cs="仿宋_GB2312"/>
          <w:color w:val="auto"/>
          <w:sz w:val="28"/>
          <w:szCs w:val="28"/>
          <w:highlight w:val="none"/>
        </w:rPr>
        <w:t>万元，实际</w:t>
      </w:r>
      <w:r>
        <w:rPr>
          <w:rFonts w:hint="eastAsia" w:ascii="仿宋_GB2312" w:hAnsi="Times New Roman" w:cs="仿宋_GB2312"/>
          <w:color w:val="auto"/>
          <w:sz w:val="28"/>
          <w:szCs w:val="28"/>
          <w:highlight w:val="none"/>
          <w:lang w:val="en-US" w:eastAsia="zh-CN"/>
        </w:rPr>
        <w:t>支出</w:t>
      </w:r>
      <w:r>
        <w:rPr>
          <w:rFonts w:hint="eastAsia" w:ascii="仿宋_GB2312" w:hAnsi="Times New Roman" w:cs="仿宋_GB2312"/>
          <w:color w:val="auto"/>
          <w:sz w:val="28"/>
          <w:szCs w:val="28"/>
          <w:highlight w:val="none"/>
        </w:rPr>
        <w:t>资金</w:t>
      </w:r>
      <w:r>
        <w:rPr>
          <w:rFonts w:hint="eastAsia" w:ascii="Times New Roman" w:hAnsi="Times New Roman" w:cs="Times New Roman"/>
          <w:color w:val="auto"/>
          <w:highlight w:val="none"/>
          <w:lang w:val="en-US" w:eastAsia="zh-CN"/>
        </w:rPr>
        <w:t>1723.86</w:t>
      </w:r>
      <w:r>
        <w:rPr>
          <w:rFonts w:hint="eastAsia" w:ascii="仿宋_GB2312" w:hAnsi="Times New Roman" w:cs="仿宋_GB2312"/>
          <w:color w:val="auto"/>
          <w:sz w:val="28"/>
          <w:szCs w:val="28"/>
          <w:highlight w:val="none"/>
        </w:rPr>
        <w:t>万元，预算执行率=（实际支出资金/实际到位资金）×100%=（</w:t>
      </w:r>
      <w:r>
        <w:rPr>
          <w:rFonts w:hint="eastAsia" w:ascii="Times New Roman" w:hAnsi="Times New Roman" w:cs="Times New Roman"/>
          <w:color w:val="auto"/>
          <w:highlight w:val="none"/>
          <w:lang w:val="en-US" w:eastAsia="zh-CN"/>
        </w:rPr>
        <w:t>1723.86</w:t>
      </w:r>
      <w:r>
        <w:rPr>
          <w:rFonts w:hint="eastAsia" w:ascii="仿宋_GB2312" w:hAnsi="Times New Roman" w:cs="仿宋_GB2312"/>
          <w:color w:val="auto"/>
          <w:sz w:val="28"/>
          <w:szCs w:val="28"/>
          <w:highlight w:val="none"/>
        </w:rPr>
        <w:t>/</w:t>
      </w:r>
      <w:r>
        <w:rPr>
          <w:rFonts w:hint="eastAsia" w:cs="Times New Roman"/>
          <w:color w:val="auto"/>
          <w:highlight w:val="none"/>
          <w:lang w:val="en-US" w:eastAsia="zh-CN"/>
        </w:rPr>
        <w:t>1835</w:t>
      </w:r>
      <w:r>
        <w:rPr>
          <w:rFonts w:hint="eastAsia" w:ascii="仿宋_GB2312" w:hAnsi="Times New Roman" w:cs="仿宋_GB2312"/>
          <w:color w:val="auto"/>
          <w:sz w:val="28"/>
          <w:szCs w:val="28"/>
          <w:highlight w:val="none"/>
        </w:rPr>
        <w:t>）×100%=</w:t>
      </w:r>
      <w:r>
        <w:rPr>
          <w:rFonts w:hint="eastAsia" w:ascii="仿宋_GB2312" w:cs="仿宋_GB2312"/>
          <w:color w:val="auto"/>
          <w:sz w:val="28"/>
          <w:szCs w:val="28"/>
          <w:highlight w:val="none"/>
          <w:lang w:val="en-US" w:eastAsia="zh-CN"/>
        </w:rPr>
        <w:t>93.94</w:t>
      </w:r>
      <w:r>
        <w:rPr>
          <w:rFonts w:hint="eastAsia" w:ascii="仿宋_GB2312" w:hAnsi="Times New Roman"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rPr>
        <w:t>综上所述，本指标满分为</w:t>
      </w:r>
      <w:r>
        <w:rPr>
          <w:rFonts w:hint="eastAsia" w:ascii="仿宋_GB2312" w:hAnsi="Times New Roman" w:cs="仿宋_GB2312"/>
          <w:color w:val="auto"/>
          <w:sz w:val="28"/>
          <w:szCs w:val="28"/>
          <w:highlight w:val="none"/>
          <w:lang w:val="en-US" w:eastAsia="zh-CN"/>
        </w:rPr>
        <w:t>4</w:t>
      </w:r>
      <w:r>
        <w:rPr>
          <w:rFonts w:hint="eastAsia" w:ascii="仿宋_GB2312" w:hAnsi="Times New Roman" w:cs="仿宋_GB2312"/>
          <w:color w:val="auto"/>
          <w:sz w:val="28"/>
          <w:szCs w:val="28"/>
          <w:highlight w:val="none"/>
        </w:rPr>
        <w:t>分，根据评分标准得</w:t>
      </w:r>
      <w:r>
        <w:rPr>
          <w:rFonts w:hint="eastAsia" w:ascii="仿宋_GB2312" w:cs="仿宋_GB2312"/>
          <w:color w:val="auto"/>
          <w:sz w:val="28"/>
          <w:szCs w:val="28"/>
          <w:highlight w:val="none"/>
          <w:lang w:val="en-US" w:eastAsia="zh-CN"/>
        </w:rPr>
        <w:t>3.76</w:t>
      </w:r>
      <w:r>
        <w:rPr>
          <w:rFonts w:hint="eastAsia" w:ascii="仿宋_GB2312" w:hAnsi="Times New Roman" w:cs="仿宋_GB2312"/>
          <w:color w:val="auto"/>
          <w:sz w:val="28"/>
          <w:szCs w:val="28"/>
          <w:highlight w:val="none"/>
        </w:rPr>
        <w:t>分,本项目</w:t>
      </w:r>
      <w:r>
        <w:rPr>
          <w:rFonts w:hint="eastAsia" w:ascii="仿宋_GB2312" w:hAnsi="Times New Roman" w:cs="仿宋_GB2312"/>
          <w:color w:val="auto"/>
          <w:sz w:val="28"/>
          <w:szCs w:val="28"/>
          <w:highlight w:val="none"/>
          <w:lang w:val="en-US" w:eastAsia="zh-CN"/>
        </w:rPr>
        <w:t>预算执行</w:t>
      </w:r>
      <w:r>
        <w:rPr>
          <w:rFonts w:hint="eastAsia" w:ascii="仿宋_GB2312" w:hAnsi="Times New Roman" w:cs="仿宋_GB2312"/>
          <w:color w:val="auto"/>
          <w:sz w:val="28"/>
          <w:szCs w:val="28"/>
          <w:highlight w:val="none"/>
        </w:rPr>
        <w:t>率为</w:t>
      </w:r>
      <w:r>
        <w:rPr>
          <w:rFonts w:hint="eastAsia" w:ascii="仿宋_GB2312" w:cs="仿宋_GB2312"/>
          <w:color w:val="auto"/>
          <w:sz w:val="28"/>
          <w:szCs w:val="28"/>
          <w:highlight w:val="none"/>
          <w:lang w:val="en-US" w:eastAsia="zh-CN"/>
        </w:rPr>
        <w:t>93.94</w:t>
      </w:r>
      <w:r>
        <w:rPr>
          <w:rFonts w:hint="eastAsia" w:ascii="仿宋_GB2312" w:hAnsi="Times New Roman"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民政局</w:t>
      </w:r>
      <w:r>
        <w:rPr>
          <w:rFonts w:hint="eastAsia" w:ascii="Times New Roman" w:hAnsi="Times New Roman" w:cs="Times New Roman"/>
          <w:color w:val="auto"/>
          <w:highlight w:val="none"/>
        </w:rPr>
        <w:t>单位资金管理办法》，</w:t>
      </w:r>
      <w:r>
        <w:rPr>
          <w:rFonts w:hint="eastAsia"/>
          <w:color w:val="auto"/>
          <w:highlight w:val="none"/>
        </w:rPr>
        <w:t>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rPr>
        <w:t>分,本项目</w:t>
      </w:r>
      <w:r>
        <w:rPr>
          <w:rFonts w:hint="eastAsia" w:ascii="Times New Roman" w:hAnsi="Times New Roman" w:cs="Times New Roman"/>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val="en-US" w:eastAsia="zh-CN"/>
        </w:rPr>
        <w:t>托克逊县困难群众救助管理</w:t>
      </w:r>
      <w:r>
        <w:rPr>
          <w:rFonts w:hint="eastAsia" w:ascii="Times New Roman" w:hAnsi="Times New Roman" w:cs="Times New Roman"/>
          <w:color w:val="auto"/>
          <w:highlight w:val="none"/>
        </w:rPr>
        <w:t>办法》等</w:t>
      </w:r>
      <w:r>
        <w:rPr>
          <w:rFonts w:hint="eastAsia"/>
          <w:color w:val="auto"/>
          <w:highlight w:val="none"/>
        </w:rPr>
        <w:t>，上述已建立的制度均符合行政事业单位内控管理要求，财务和业务管理制度合法、合规、完整，本项目执行符合上述制度规定。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w:t>
      </w:r>
      <w:r>
        <w:rPr>
          <w:rFonts w:hint="eastAsia" w:ascii="Times New Roman" w:hAnsi="Times New Roman" w:cs="Times New Roman"/>
          <w:color w:val="auto"/>
          <w:highlight w:val="none"/>
        </w:rPr>
        <w:t>得</w:t>
      </w:r>
      <w:r>
        <w:rPr>
          <w:rFonts w:hint="eastAsia" w:ascii="Times New Roman" w:hAnsi="Times New Roman" w:cs="Times New Roman"/>
          <w:color w:val="auto"/>
          <w:highlight w:val="none"/>
          <w:lang w:val="en-US" w:eastAsia="zh-CN"/>
        </w:rPr>
        <w:t>4</w:t>
      </w:r>
      <w:r>
        <w:rPr>
          <w:rFonts w:hint="eastAsia" w:ascii="Times New Roman" w:hAnsi="Times New Roman" w:cs="Times New Roman"/>
          <w:color w:val="auto"/>
          <w:highlight w:val="none"/>
        </w:rPr>
        <w:t>分,</w:t>
      </w:r>
      <w:r>
        <w:rPr>
          <w:rFonts w:hint="eastAsia"/>
          <w:color w:val="auto"/>
          <w:highlight w:val="none"/>
        </w:rPr>
        <w:t>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w:t>
      </w:r>
      <w:r>
        <w:rPr>
          <w:rFonts w:hint="eastAsia" w:ascii="Times New Roman" w:hAnsi="Times New Roman" w:cs="Times New Roman"/>
          <w:color w:val="auto"/>
          <w:highlight w:val="none"/>
        </w:rPr>
        <w:t>合《</w:t>
      </w:r>
      <w:r>
        <w:rPr>
          <w:rFonts w:hint="eastAsia" w:ascii="Times New Roman" w:hAnsi="Times New Roman" w:cs="Times New Roman"/>
          <w:color w:val="auto"/>
          <w:highlight w:val="none"/>
          <w:lang w:val="en-US" w:eastAsia="zh-CN"/>
        </w:rPr>
        <w:t>困难群众救助管理</w:t>
      </w:r>
      <w:r>
        <w:rPr>
          <w:rFonts w:hint="eastAsia" w:ascii="Times New Roman" w:hAnsi="Times New Roman" w:cs="Times New Roman"/>
          <w:color w:val="auto"/>
          <w:highlight w:val="none"/>
        </w:rPr>
        <w:t>办法》等</w:t>
      </w:r>
      <w:r>
        <w:rPr>
          <w:rFonts w:hint="eastAsia"/>
          <w:color w:val="auto"/>
          <w:highlight w:val="none"/>
        </w:rPr>
        <w:t>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w:t>
      </w:r>
      <w:r>
        <w:rPr>
          <w:rFonts w:hint="eastAsia" w:ascii="仿宋_GB2312" w:hAnsi="Times New Roman" w:cs="仿宋_GB2312"/>
          <w:color w:val="auto"/>
          <w:szCs w:val="28"/>
          <w:highlight w:val="none"/>
        </w:rPr>
        <w:t>得</w:t>
      </w:r>
      <w:r>
        <w:rPr>
          <w:rFonts w:hint="eastAsia" w:ascii="仿宋_GB2312" w:hAnsi="Times New Roman" w:cs="仿宋_GB2312"/>
          <w:color w:val="auto"/>
          <w:szCs w:val="28"/>
          <w:highlight w:val="none"/>
          <w:lang w:val="en-US" w:eastAsia="zh-CN"/>
        </w:rPr>
        <w:t>4</w:t>
      </w:r>
      <w:r>
        <w:rPr>
          <w:rFonts w:hint="eastAsia" w:ascii="仿宋_GB2312" w:hAnsi="Times New Roman"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w:t>
      </w:r>
      <w:r>
        <w:rPr>
          <w:rFonts w:hint="eastAsia" w:ascii="仿宋_GB2312" w:hAnsi="Times New Roman" w:cs="仿宋_GB2312"/>
          <w:color w:val="auto"/>
          <w:sz w:val="28"/>
          <w:szCs w:val="28"/>
          <w:highlight w:val="none"/>
        </w:rPr>
        <w:t>为</w:t>
      </w:r>
      <w:r>
        <w:rPr>
          <w:rFonts w:hint="eastAsia" w:ascii="仿宋_GB2312" w:cs="仿宋_GB2312"/>
          <w:color w:val="auto"/>
          <w:sz w:val="28"/>
          <w:szCs w:val="28"/>
          <w:highlight w:val="none"/>
          <w:lang w:val="en-US" w:eastAsia="zh-CN"/>
        </w:rPr>
        <w:t>24</w:t>
      </w:r>
      <w:r>
        <w:rPr>
          <w:rFonts w:hint="eastAsia" w:ascii="仿宋_GB2312" w:hAnsi="Times New Roman" w:cs="仿宋_GB2312"/>
          <w:color w:val="auto"/>
          <w:sz w:val="28"/>
          <w:szCs w:val="28"/>
          <w:highlight w:val="none"/>
        </w:rPr>
        <w:t>分，实际得分</w:t>
      </w:r>
      <w:r>
        <w:rPr>
          <w:rFonts w:hint="eastAsia" w:ascii="仿宋_GB2312" w:cs="仿宋_GB2312"/>
          <w:color w:val="auto"/>
          <w:sz w:val="28"/>
          <w:szCs w:val="28"/>
          <w:highlight w:val="none"/>
          <w:lang w:val="en-US" w:eastAsia="zh-CN"/>
        </w:rPr>
        <w:t>23.11</w:t>
      </w:r>
      <w:r>
        <w:rPr>
          <w:rFonts w:hint="eastAsia" w:ascii="仿宋_GB2312" w:hAnsi="Times New Roman" w:cs="仿宋_GB2312"/>
          <w:color w:val="auto"/>
          <w:sz w:val="28"/>
          <w:szCs w:val="28"/>
          <w:highlight w:val="none"/>
        </w:rPr>
        <w:t>分，得分率为</w:t>
      </w:r>
      <w:r>
        <w:rPr>
          <w:rFonts w:hint="eastAsia" w:ascii="仿宋_GB2312" w:cs="仿宋_GB2312"/>
          <w:color w:val="auto"/>
          <w:sz w:val="28"/>
          <w:szCs w:val="28"/>
          <w:highlight w:val="none"/>
          <w:lang w:val="en-US" w:eastAsia="zh-CN"/>
        </w:rPr>
        <w:t>96.29</w:t>
      </w:r>
      <w:r>
        <w:rPr>
          <w:rFonts w:hint="eastAsia" w:ascii="仿宋_GB2312" w:hAnsi="Times New Roman"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农村低保补助人数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大于等于2512人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2871人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城市低保补助人数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大于等于557人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594人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“集中孤儿人数”指标：预期指标值为</w:t>
      </w:r>
      <w:r>
        <w:rPr>
          <w:rFonts w:hint="eastAsia" w:ascii="仿宋_GB2312" w:hAnsi="仿宋_GB2312" w:cs="仿宋_GB2312"/>
          <w:color w:val="auto"/>
          <w:sz w:val="28"/>
          <w:szCs w:val="28"/>
          <w:highlight w:val="none"/>
          <w:lang w:val="en-US" w:eastAsia="zh-CN"/>
        </w:rPr>
        <w:t>大于等于12人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分散孤儿人数”指</w:t>
      </w:r>
      <w:r>
        <w:rPr>
          <w:rFonts w:hint="eastAsia" w:ascii="仿宋_GB2312" w:hAnsi="仿宋_GB2312" w:cs="仿宋_GB2312"/>
          <w:color w:val="auto"/>
          <w:sz w:val="28"/>
          <w:szCs w:val="28"/>
          <w:highlight w:val="none"/>
        </w:rPr>
        <w:t>标：预期指标值为</w:t>
      </w:r>
      <w:r>
        <w:rPr>
          <w:rFonts w:hint="eastAsia" w:ascii="仿宋_GB2312" w:hAnsi="仿宋_GB2312" w:cs="仿宋_GB2312"/>
          <w:color w:val="auto"/>
          <w:sz w:val="28"/>
          <w:szCs w:val="28"/>
          <w:highlight w:val="none"/>
          <w:lang w:val="en-US" w:eastAsia="zh-CN"/>
        </w:rPr>
        <w:t>大于等于8人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分，根据评分标准，该指标得</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w:t>
      </w:r>
    </w:p>
    <w:p>
      <w:pPr>
        <w:bidi w:val="0"/>
        <w:rPr>
          <w:rFonts w:hint="eastAsia" w:ascii="仿宋_GB2312" w:hAnsi="仿宋_GB2312" w:eastAsia="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农村特困分散供养人数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大于等于76人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74人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97.37</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。主要原因：在设置目标时难以估算，年初设定目标值偏高；</w:t>
      </w:r>
      <w:r>
        <w:rPr>
          <w:rFonts w:hint="eastAsia" w:ascii="仿宋_GB2312" w:hAnsi="仿宋_GB2312" w:cs="仿宋_GB2312"/>
          <w:color w:val="auto"/>
          <w:sz w:val="28"/>
          <w:szCs w:val="28"/>
          <w:highlight w:val="none"/>
          <w:lang w:eastAsia="zh-CN"/>
        </w:rPr>
        <w:t>改进措施：</w:t>
      </w:r>
      <w:r>
        <w:rPr>
          <w:rFonts w:hint="eastAsia" w:ascii="仿宋_GB2312" w:hAnsi="仿宋_GB2312" w:cs="仿宋_GB2312"/>
          <w:color w:val="auto"/>
          <w:sz w:val="28"/>
          <w:szCs w:val="28"/>
          <w:highlight w:val="none"/>
          <w:lang w:val="en-US" w:eastAsia="zh-CN"/>
        </w:rPr>
        <w:t>落实好绩效管理制度，加强相关部门、岗位的协作能力，加强绩效审核环节。</w:t>
      </w:r>
      <w:r>
        <w:rPr>
          <w:rFonts w:hint="eastAsia" w:ascii="仿宋_GB2312" w:hAns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1.8</w:t>
      </w:r>
      <w:r>
        <w:rPr>
          <w:rFonts w:hint="eastAsia" w:ascii="仿宋_GB2312" w:hAnsi="仿宋_GB2312" w:cs="仿宋_GB2312"/>
          <w:color w:val="auto"/>
          <w:sz w:val="28"/>
          <w:szCs w:val="28"/>
          <w:highlight w:val="none"/>
        </w:rPr>
        <w:t>分，根据评分标准，该指标</w:t>
      </w:r>
      <w:r>
        <w:rPr>
          <w:rFonts w:hint="eastAsia" w:ascii="仿宋_GB2312" w:hAnsi="仿宋_GB2312" w:cs="仿宋_GB2312"/>
          <w:color w:val="auto"/>
          <w:sz w:val="28"/>
          <w:szCs w:val="28"/>
          <w:highlight w:val="none"/>
          <w:lang w:eastAsia="zh-CN"/>
        </w:rPr>
        <w:t>得</w:t>
      </w:r>
      <w:r>
        <w:rPr>
          <w:rFonts w:hint="eastAsia" w:ascii="仿宋_GB2312" w:hAnsi="仿宋_GB2312" w:cs="仿宋_GB2312"/>
          <w:color w:val="auto"/>
          <w:sz w:val="28"/>
          <w:szCs w:val="28"/>
          <w:highlight w:val="none"/>
          <w:lang w:val="en-US" w:eastAsia="zh-CN"/>
        </w:rPr>
        <w:t>1.75</w:t>
      </w:r>
      <w:r>
        <w:rPr>
          <w:rFonts w:hint="eastAsia" w:ascii="仿宋_GB2312" w:hAnsi="仿宋_GB2312" w:cs="仿宋_GB2312"/>
          <w:color w:val="auto"/>
          <w:sz w:val="28"/>
          <w:szCs w:val="28"/>
          <w:highlight w:val="none"/>
        </w:rPr>
        <w:t>分。</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仿宋_GB2312" w:cs="仿宋_GB2312"/>
          <w:color w:val="auto"/>
          <w:sz w:val="28"/>
          <w:szCs w:val="28"/>
          <w:highlight w:val="none"/>
          <w:lang w:val="en-US" w:eastAsia="zh-CN"/>
        </w:rPr>
        <w:t>“城市特困供养及农村集中特困供养人数”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大于等于79人</w:t>
      </w:r>
      <w:r>
        <w:rPr>
          <w:rFonts w:hint="eastAsia" w:ascii="仿宋_GB2312" w:hAnsi="仿宋_GB2312" w:cs="仿宋_GB2312"/>
          <w:color w:val="auto"/>
          <w:sz w:val="28"/>
          <w:szCs w:val="28"/>
          <w:highlight w:val="none"/>
        </w:rPr>
        <w:t>，实际完成指</w:t>
      </w:r>
      <w:r>
        <w:rPr>
          <w:rFonts w:hint="eastAsia" w:ascii="仿宋_GB2312" w:hAnsi="Times New Roman" w:eastAsia="仿宋_GB2312" w:cs="仿宋_GB2312"/>
          <w:color w:val="auto"/>
          <w:kern w:val="2"/>
          <w:sz w:val="28"/>
          <w:szCs w:val="28"/>
          <w:highlight w:val="none"/>
          <w:lang w:val="en-US" w:eastAsia="zh-CN" w:bidi="ar-SA"/>
        </w:rPr>
        <w:t>标值为</w:t>
      </w:r>
      <w:r>
        <w:rPr>
          <w:rFonts w:hint="eastAsia" w:ascii="仿宋_GB2312" w:hAnsi="仿宋_GB2312" w:cs="仿宋_GB2312"/>
          <w:color w:val="auto"/>
          <w:sz w:val="28"/>
          <w:szCs w:val="28"/>
          <w:highlight w:val="none"/>
          <w:lang w:val="en-US" w:eastAsia="zh-CN"/>
        </w:rPr>
        <w:t>79人</w:t>
      </w:r>
      <w:r>
        <w:rPr>
          <w:rFonts w:hint="eastAsia" w:ascii="仿宋_GB2312" w:hAnsi="Times New Roman" w:eastAsia="仿宋_GB2312" w:cs="仿宋_GB2312"/>
          <w:color w:val="auto"/>
          <w:kern w:val="2"/>
          <w:sz w:val="28"/>
          <w:szCs w:val="28"/>
          <w:highlight w:val="none"/>
          <w:lang w:val="en-US" w:eastAsia="zh-CN" w:bidi="ar-SA"/>
        </w:rPr>
        <w:t>，指标完成率为100%。本指标满分为</w:t>
      </w:r>
      <w:r>
        <w:rPr>
          <w:rFonts w:hint="eastAsia" w:ascii="仿宋_GB2312" w:hAnsi="仿宋_GB2312" w:cs="仿宋_GB2312"/>
          <w:color w:val="auto"/>
          <w:sz w:val="28"/>
          <w:szCs w:val="28"/>
          <w:highlight w:val="none"/>
          <w:lang w:val="en-US" w:eastAsia="zh-CN"/>
        </w:rPr>
        <w:t>1.8</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1.8</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农村低保补助资金发放次数”指标：预期指标值为大于等于10次，实际完成指标值为12次，指标完成率为80%。主要原因：一是指标值设置偏低，二是需要临时救助的人员少于预期，资金用于保障低保等补助发放；改进措施：通过定期监控，及时对预算金额或项目内容发生重大变化的情况与财政部门进行沟通，完备目标调整手续，有效提高资金使用效益和项目目标的完成率。本指标满分为1.2分，根据评分标准，该指标得0.96分。</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城市低保补助资金发放次数”指标：预期指标值为大于等于10次，实际完成指标值为12次，指标完成率为80%。主要原因：一是指标值设置偏低，二是需要临时救助的人员少于预期，资金用于保障低保等补助发放；改进措施：通过定期监控，及时对预算金额或项目内容发生重大变化的情况与财政部门进行沟通，完备目标调整手续，有效提高资金使用效益和项目目标的完成率。本指标满分为1.2分，根据评分标准，该指标得0.96分。</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孤儿补助发放次数”指标：预期指标值为大于等于10次，实际完成指标值为12次，指标完成率为80%。主要原因：一是指标值设置偏低，二是需要临时救助的人员少于预期，资金用于保障低保等补助发放；改进措施：通过定期监控，及时对预算金额或项目内容发生重大变化的情况与财政部门进行沟通，完备目标调整手续，有效提高资金使用效益和项目目标的完成率。本指标满分为1.2分，根据评分标准，该指标得0.96分。</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“特困供养补助资金发放次数”指标：预期指标值为大于等于11次，实际完成指标值为12次，指标完成率为100%。本指标满分为1.2分，根据评分标准，该指标得1.2分。</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特困供养全护理人数”指标：预期指标值为大于等于30人，实际完成指标值为27人，指标完成率为90%。本指标满分为1.2分，根据评分标准，该指标得1.08分。全护理人员中存在人员去世和身体好转后变成半护理人员。</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“特困供养半自理人数”指标：预期指标值为大于等于20人，实际完成指标值为20人，指标完成率为100%。本指标满分为1.2分，根据评分标准，该指标得1.2分。</w:t>
      </w:r>
    </w:p>
    <w:p>
      <w:pPr>
        <w:pStyle w:val="2"/>
        <w:rPr>
          <w:rFonts w:hint="default"/>
          <w:color w:val="auto"/>
          <w:highlight w:val="none"/>
          <w:lang w:val="en-US" w:eastAsia="zh-CN"/>
        </w:rPr>
      </w:pPr>
      <w:r>
        <w:rPr>
          <w:rFonts w:hint="eastAsia" w:ascii="仿宋_GB2312" w:hAnsi="仿宋_GB2312" w:eastAsia="仿宋_GB2312" w:cs="仿宋_GB2312"/>
          <w:color w:val="auto"/>
          <w:kern w:val="2"/>
          <w:sz w:val="28"/>
          <w:szCs w:val="28"/>
          <w:highlight w:val="none"/>
          <w:lang w:val="en-US" w:eastAsia="zh-CN" w:bidi="ar-SA"/>
        </w:rPr>
        <w:t>“特困供养全自理人数”指</w:t>
      </w:r>
      <w:r>
        <w:rPr>
          <w:rFonts w:hint="eastAsia" w:ascii="仿宋_GB2312" w:hAnsi="仿宋_GB2312" w:cs="仿宋_GB2312"/>
          <w:color w:val="auto"/>
          <w:sz w:val="28"/>
          <w:szCs w:val="28"/>
          <w:highlight w:val="none"/>
          <w:lang w:val="en-US" w:eastAsia="zh-CN"/>
        </w:rPr>
        <w:t>标：预期指标值为大于等于105人，实际完成指标值为108人，指标完成率为100%。本指标满分为1.2分，根据评分标准，该指标得1.2分。</w:t>
      </w:r>
    </w:p>
    <w:p>
      <w:pPr>
        <w:bidi w:val="0"/>
        <w:rPr>
          <w:rFonts w:hint="eastAsia"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2.质量指标完成情况分析</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“低保资金社会化发放率”指标：预期指标值为</w:t>
      </w:r>
      <w:r>
        <w:rPr>
          <w:rFonts w:hint="eastAsia" w:ascii="仿宋_GB2312" w:cs="仿宋_GB2312"/>
          <w:color w:val="auto"/>
          <w:kern w:val="2"/>
          <w:sz w:val="28"/>
          <w:szCs w:val="28"/>
          <w:highlight w:val="none"/>
          <w:lang w:val="en-US" w:eastAsia="zh-CN" w:bidi="ar-SA"/>
        </w:rPr>
        <w:t>大于等于</w:t>
      </w:r>
      <w:r>
        <w:rPr>
          <w:rFonts w:hint="eastAsia" w:ascii="仿宋_GB2312" w:hAnsi="Times New Roman" w:eastAsia="仿宋_GB2312" w:cs="仿宋_GB2312"/>
          <w:color w:val="auto"/>
          <w:kern w:val="2"/>
          <w:sz w:val="28"/>
          <w:szCs w:val="28"/>
          <w:highlight w:val="none"/>
          <w:lang w:val="en-US" w:eastAsia="zh-CN" w:bidi="ar-SA"/>
        </w:rPr>
        <w:t>95%，实际完成指标值为</w:t>
      </w:r>
      <w:r>
        <w:rPr>
          <w:rFonts w:hint="eastAsia" w:ascii="仿宋_GB2312" w:cs="仿宋_GB2312"/>
          <w:color w:val="auto"/>
          <w:kern w:val="2"/>
          <w:sz w:val="28"/>
          <w:szCs w:val="28"/>
          <w:highlight w:val="none"/>
          <w:lang w:val="en-US" w:eastAsia="zh-CN" w:bidi="ar-SA"/>
        </w:rPr>
        <w:t>95</w:t>
      </w:r>
      <w:r>
        <w:rPr>
          <w:rFonts w:hint="eastAsia" w:ascii="仿宋_GB2312" w:hAnsi="Times New Roman" w:eastAsia="仿宋_GB2312" w:cs="仿宋_GB2312"/>
          <w:color w:val="auto"/>
          <w:kern w:val="2"/>
          <w:sz w:val="28"/>
          <w:szCs w:val="28"/>
          <w:highlight w:val="none"/>
          <w:lang w:val="en-US" w:eastAsia="zh-CN" w:bidi="ar-SA"/>
        </w:rPr>
        <w:t>%，指标完成率为100%。本指标满分为</w:t>
      </w:r>
      <w:r>
        <w:rPr>
          <w:rFonts w:hint="eastAsia" w:ascii="仿宋_GB2312" w:cs="仿宋_GB2312"/>
          <w:color w:val="auto"/>
          <w:kern w:val="2"/>
          <w:sz w:val="28"/>
          <w:szCs w:val="28"/>
          <w:highlight w:val="none"/>
          <w:lang w:val="en-US" w:eastAsia="zh-CN" w:bidi="ar-SA"/>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cs="仿宋_GB2312"/>
          <w:color w:val="auto"/>
          <w:kern w:val="2"/>
          <w:sz w:val="28"/>
          <w:szCs w:val="28"/>
          <w:highlight w:val="none"/>
          <w:lang w:val="en-US" w:eastAsia="zh-CN" w:bidi="ar-SA"/>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eastAsia"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“特困人员救助供养覆盖率”指标：预期指标值为</w:t>
      </w:r>
      <w:r>
        <w:rPr>
          <w:rFonts w:hint="eastAsia" w:ascii="仿宋_GB2312" w:cs="仿宋_GB2312"/>
          <w:color w:val="auto"/>
          <w:kern w:val="2"/>
          <w:sz w:val="28"/>
          <w:szCs w:val="28"/>
          <w:highlight w:val="none"/>
          <w:lang w:val="en-US" w:eastAsia="zh-CN" w:bidi="ar-SA"/>
        </w:rPr>
        <w:t>大于等于</w:t>
      </w:r>
      <w:r>
        <w:rPr>
          <w:rFonts w:hint="eastAsia" w:ascii="仿宋_GB2312" w:hAnsi="Times New Roman" w:eastAsia="仿宋_GB2312" w:cs="仿宋_GB2312"/>
          <w:color w:val="auto"/>
          <w:kern w:val="2"/>
          <w:sz w:val="28"/>
          <w:szCs w:val="28"/>
          <w:highlight w:val="none"/>
          <w:lang w:val="en-US" w:eastAsia="zh-CN" w:bidi="ar-SA"/>
        </w:rPr>
        <w:t>95%，实际完成指标值为</w:t>
      </w:r>
      <w:r>
        <w:rPr>
          <w:rFonts w:hint="eastAsia" w:ascii="仿宋_GB2312" w:cs="仿宋_GB2312"/>
          <w:color w:val="auto"/>
          <w:kern w:val="2"/>
          <w:sz w:val="28"/>
          <w:szCs w:val="28"/>
          <w:highlight w:val="none"/>
          <w:lang w:val="en-US" w:eastAsia="zh-CN" w:bidi="ar-SA"/>
        </w:rPr>
        <w:t>95</w:t>
      </w:r>
      <w:r>
        <w:rPr>
          <w:rFonts w:hint="eastAsia" w:ascii="仿宋_GB2312" w:hAnsi="Times New Roman" w:eastAsia="仿宋_GB2312" w:cs="仿宋_GB2312"/>
          <w:color w:val="auto"/>
          <w:kern w:val="2"/>
          <w:sz w:val="28"/>
          <w:szCs w:val="28"/>
          <w:highlight w:val="none"/>
          <w:lang w:val="en-US" w:eastAsia="zh-CN" w:bidi="ar-SA"/>
        </w:rPr>
        <w:t>%，指标完成率为100%。本指标满分为</w:t>
      </w:r>
      <w:r>
        <w:rPr>
          <w:rFonts w:hint="eastAsia" w:ascii="仿宋_GB2312" w:cs="仿宋_GB2312"/>
          <w:color w:val="auto"/>
          <w:kern w:val="2"/>
          <w:sz w:val="28"/>
          <w:szCs w:val="28"/>
          <w:highlight w:val="none"/>
          <w:lang w:val="en-US" w:eastAsia="zh-CN" w:bidi="ar-SA"/>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cs="仿宋_GB2312"/>
          <w:color w:val="auto"/>
          <w:kern w:val="2"/>
          <w:sz w:val="28"/>
          <w:szCs w:val="28"/>
          <w:highlight w:val="none"/>
          <w:lang w:val="en-US" w:eastAsia="zh-CN" w:bidi="ar-SA"/>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default"/>
          <w:color w:val="auto"/>
          <w:highlight w:val="none"/>
          <w:lang w:val="en-US" w:eastAsia="zh-CN"/>
        </w:rPr>
      </w:pPr>
      <w:r>
        <w:rPr>
          <w:rFonts w:hint="eastAsia" w:ascii="仿宋_GB2312" w:hAnsi="Times New Roman" w:eastAsia="仿宋_GB2312" w:cs="仿宋_GB2312"/>
          <w:color w:val="auto"/>
          <w:kern w:val="2"/>
          <w:sz w:val="28"/>
          <w:szCs w:val="28"/>
          <w:highlight w:val="none"/>
          <w:lang w:val="en-US" w:eastAsia="zh-CN" w:bidi="ar-SA"/>
        </w:rPr>
        <w:t>“求助流浪乞讨人员救助率”指标：预期指标值为</w:t>
      </w:r>
      <w:r>
        <w:rPr>
          <w:rFonts w:hint="eastAsia" w:ascii="仿宋_GB2312" w:cs="仿宋_GB2312"/>
          <w:color w:val="auto"/>
          <w:kern w:val="2"/>
          <w:sz w:val="28"/>
          <w:szCs w:val="28"/>
          <w:highlight w:val="none"/>
          <w:lang w:val="en-US" w:eastAsia="zh-CN" w:bidi="ar-SA"/>
        </w:rPr>
        <w:t>大于等于</w:t>
      </w:r>
      <w:r>
        <w:rPr>
          <w:rFonts w:hint="eastAsia" w:ascii="仿宋_GB2312" w:hAnsi="Times New Roman" w:eastAsia="仿宋_GB2312" w:cs="仿宋_GB2312"/>
          <w:color w:val="auto"/>
          <w:kern w:val="2"/>
          <w:sz w:val="28"/>
          <w:szCs w:val="28"/>
          <w:highlight w:val="none"/>
          <w:lang w:val="en-US" w:eastAsia="zh-CN" w:bidi="ar-SA"/>
        </w:rPr>
        <w:t>95%，实际完成指标值为</w:t>
      </w:r>
      <w:r>
        <w:rPr>
          <w:rFonts w:hint="eastAsia" w:ascii="仿宋_GB2312" w:cs="仿宋_GB2312"/>
          <w:color w:val="auto"/>
          <w:kern w:val="2"/>
          <w:sz w:val="28"/>
          <w:szCs w:val="28"/>
          <w:highlight w:val="none"/>
          <w:lang w:val="en-US" w:eastAsia="zh-CN" w:bidi="ar-SA"/>
        </w:rPr>
        <w:t>95</w:t>
      </w:r>
      <w:r>
        <w:rPr>
          <w:rFonts w:hint="eastAsia" w:ascii="仿宋_GB2312" w:hAnsi="Times New Roman" w:eastAsia="仿宋_GB2312" w:cs="仿宋_GB2312"/>
          <w:color w:val="auto"/>
          <w:kern w:val="2"/>
          <w:sz w:val="28"/>
          <w:szCs w:val="28"/>
          <w:highlight w:val="none"/>
          <w:lang w:val="en-US" w:eastAsia="zh-CN" w:bidi="ar-SA"/>
        </w:rPr>
        <w:t>%，指标完成率为100%。本指标满分为</w:t>
      </w:r>
      <w:r>
        <w:rPr>
          <w:rFonts w:hint="eastAsia" w:ascii="仿宋_GB2312" w:cs="仿宋_GB2312"/>
          <w:color w:val="auto"/>
          <w:kern w:val="2"/>
          <w:sz w:val="28"/>
          <w:szCs w:val="28"/>
          <w:highlight w:val="none"/>
          <w:lang w:val="en-US" w:eastAsia="zh-CN" w:bidi="ar-SA"/>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cs="仿宋_GB2312"/>
          <w:color w:val="auto"/>
          <w:kern w:val="2"/>
          <w:sz w:val="28"/>
          <w:szCs w:val="28"/>
          <w:highlight w:val="none"/>
          <w:lang w:val="en-US" w:eastAsia="zh-CN" w:bidi="ar-SA"/>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eastAsia"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3.时效指标完成情况分析</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“救助补助资金发放及时率”指标：预期指标值为</w:t>
      </w:r>
      <w:r>
        <w:rPr>
          <w:rFonts w:hint="eastAsia" w:ascii="仿宋_GB2312" w:cs="仿宋_GB2312"/>
          <w:color w:val="auto"/>
          <w:kern w:val="2"/>
          <w:sz w:val="28"/>
          <w:szCs w:val="28"/>
          <w:highlight w:val="none"/>
          <w:lang w:val="en-US" w:eastAsia="zh-CN" w:bidi="ar-SA"/>
        </w:rPr>
        <w:t>大于等于</w:t>
      </w:r>
      <w:r>
        <w:rPr>
          <w:rFonts w:hint="eastAsia" w:ascii="仿宋_GB2312" w:hAnsi="Times New Roman" w:eastAsia="仿宋_GB2312" w:cs="仿宋_GB2312"/>
          <w:color w:val="auto"/>
          <w:kern w:val="2"/>
          <w:sz w:val="28"/>
          <w:szCs w:val="28"/>
          <w:highlight w:val="none"/>
          <w:lang w:val="en-US" w:eastAsia="zh-CN" w:bidi="ar-SA"/>
        </w:rPr>
        <w:t>95%，实际完成指标值为100%，指标完成率为100%。本指标满分为</w:t>
      </w:r>
      <w:r>
        <w:rPr>
          <w:rFonts w:hint="eastAsia" w:ascii="仿宋_GB2312" w:cs="仿宋_GB2312"/>
          <w:color w:val="auto"/>
          <w:kern w:val="2"/>
          <w:sz w:val="28"/>
          <w:szCs w:val="28"/>
          <w:highlight w:val="none"/>
          <w:lang w:val="en-US" w:eastAsia="zh-CN" w:bidi="ar-SA"/>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cs="仿宋_GB2312"/>
          <w:color w:val="auto"/>
          <w:kern w:val="2"/>
          <w:sz w:val="28"/>
          <w:szCs w:val="28"/>
          <w:highlight w:val="none"/>
          <w:lang w:val="en-US" w:eastAsia="zh-CN" w:bidi="ar-SA"/>
        </w:rPr>
        <w:t>1.2</w:t>
      </w:r>
      <w:r>
        <w:rPr>
          <w:rFonts w:hint="eastAsia" w:ascii="仿宋_GB2312" w:hAnsi="Times New Roman" w:eastAsia="仿宋_GB2312" w:cs="仿宋_GB2312"/>
          <w:color w:val="auto"/>
          <w:kern w:val="2"/>
          <w:sz w:val="28"/>
          <w:szCs w:val="28"/>
          <w:highlight w:val="none"/>
          <w:lang w:val="en-US" w:eastAsia="zh-CN" w:bidi="ar-SA"/>
        </w:rPr>
        <w:t>分。</w:t>
      </w:r>
    </w:p>
    <w:p>
      <w:pPr>
        <w:pStyle w:val="4"/>
        <w:bidi w:val="0"/>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（四）项目成本情况</w:t>
      </w:r>
    </w:p>
    <w:p>
      <w:pPr>
        <w:bidi w:val="0"/>
        <w:rPr>
          <w:rFonts w:hint="eastAsia"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项目成本类指标包括经济成本、社会成本、生态环境成本三个方面的内容，本项目仅涉及经济成本指标。权重分为12分，实际得分</w:t>
      </w:r>
      <w:r>
        <w:rPr>
          <w:rFonts w:hint="eastAsia" w:ascii="仿宋_GB2312" w:cs="仿宋_GB2312"/>
          <w:color w:val="auto"/>
          <w:kern w:val="2"/>
          <w:sz w:val="28"/>
          <w:szCs w:val="28"/>
          <w:highlight w:val="none"/>
          <w:lang w:val="en-US" w:eastAsia="zh-CN" w:bidi="ar-SA"/>
        </w:rPr>
        <w:t>11.34</w:t>
      </w:r>
      <w:r>
        <w:rPr>
          <w:rFonts w:hint="eastAsia" w:ascii="仿宋_GB2312" w:hAnsi="Times New Roman" w:eastAsia="仿宋_GB2312" w:cs="仿宋_GB2312"/>
          <w:color w:val="auto"/>
          <w:kern w:val="2"/>
          <w:sz w:val="28"/>
          <w:szCs w:val="28"/>
          <w:highlight w:val="none"/>
          <w:lang w:val="en-US" w:eastAsia="zh-CN" w:bidi="ar-SA"/>
        </w:rPr>
        <w:t>，得分率为</w:t>
      </w:r>
      <w:r>
        <w:rPr>
          <w:rFonts w:hint="eastAsia" w:ascii="仿宋_GB2312" w:cs="仿宋_GB2312"/>
          <w:color w:val="auto"/>
          <w:kern w:val="2"/>
          <w:sz w:val="28"/>
          <w:szCs w:val="28"/>
          <w:highlight w:val="none"/>
          <w:lang w:val="en-US" w:eastAsia="zh-CN" w:bidi="ar-SA"/>
        </w:rPr>
        <w:t>94.5</w:t>
      </w:r>
      <w:r>
        <w:rPr>
          <w:rFonts w:hint="eastAsia" w:ascii="仿宋_GB2312" w:hAnsi="Times New Roman" w:eastAsia="仿宋_GB2312" w:cs="仿宋_GB2312"/>
          <w:color w:val="auto"/>
          <w:kern w:val="2"/>
          <w:sz w:val="28"/>
          <w:szCs w:val="28"/>
          <w:highlight w:val="none"/>
          <w:lang w:val="en-US" w:eastAsia="zh-CN" w:bidi="ar-SA"/>
        </w:rPr>
        <w:t>%。</w:t>
      </w:r>
    </w:p>
    <w:p>
      <w:pPr>
        <w:bidi w:val="0"/>
        <w:rPr>
          <w:rFonts w:hint="eastAsia" w:ascii="仿宋_GB2312" w:hAnsi="Times New Roman" w:eastAsia="仿宋_GB2312" w:cs="仿宋_GB2312"/>
          <w:b/>
          <w:bCs/>
          <w:color w:val="auto"/>
          <w:kern w:val="2"/>
          <w:sz w:val="28"/>
          <w:szCs w:val="28"/>
          <w:highlight w:val="none"/>
          <w:lang w:val="en-US" w:eastAsia="zh-CN" w:bidi="ar-SA"/>
        </w:rPr>
      </w:pPr>
      <w:r>
        <w:rPr>
          <w:rFonts w:hint="eastAsia" w:ascii="仿宋_GB2312" w:hAnsi="Times New Roman" w:eastAsia="仿宋_GB2312" w:cs="仿宋_GB2312"/>
          <w:b/>
          <w:bCs/>
          <w:color w:val="auto"/>
          <w:kern w:val="2"/>
          <w:sz w:val="28"/>
          <w:szCs w:val="28"/>
          <w:highlight w:val="none"/>
          <w:lang w:val="en-US" w:eastAsia="zh-CN" w:bidi="ar-SA"/>
        </w:rPr>
        <w:t>1.经济成本指标完成情况分析</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“农村低保最高标准”指标：预期指标值为小于等于440.83元</w:t>
      </w:r>
      <w:r>
        <w:rPr>
          <w:rFonts w:ascii="宋体" w:hAnsi="宋体" w:eastAsia="宋体" w:cs="宋体"/>
          <w:color w:val="auto"/>
          <w:sz w:val="24"/>
          <w:szCs w:val="24"/>
          <w:highlight w:val="none"/>
        </w:rPr>
        <w:t>/人/个月</w:t>
      </w:r>
      <w:r>
        <w:rPr>
          <w:rFonts w:hint="eastAsia" w:ascii="仿宋_GB2312" w:hAnsi="Times New Roman" w:eastAsia="仿宋_GB2312" w:cs="仿宋_GB2312"/>
          <w:color w:val="auto"/>
          <w:kern w:val="2"/>
          <w:sz w:val="28"/>
          <w:szCs w:val="28"/>
          <w:highlight w:val="none"/>
          <w:lang w:val="en-US" w:eastAsia="zh-CN" w:bidi="ar-SA"/>
        </w:rPr>
        <w:t>，实际完成指标值为440.83元/人/个月，指标完成率为</w:t>
      </w:r>
      <w:r>
        <w:rPr>
          <w:rFonts w:hint="eastAsia" w:ascii="仿宋_GB2312" w:cs="仿宋_GB2312"/>
          <w:color w:val="auto"/>
          <w:kern w:val="2"/>
          <w:sz w:val="28"/>
          <w:szCs w:val="28"/>
          <w:highlight w:val="none"/>
          <w:lang w:val="en-US" w:eastAsia="zh-CN" w:bidi="ar-SA"/>
        </w:rPr>
        <w:t>100</w:t>
      </w:r>
      <w:r>
        <w:rPr>
          <w:rFonts w:hint="eastAsia" w:ascii="仿宋_GB2312" w:hAnsi="Times New Roman" w:eastAsia="仿宋_GB2312" w:cs="仿宋_GB2312"/>
          <w:color w:val="auto"/>
          <w:kern w:val="2"/>
          <w:sz w:val="28"/>
          <w:szCs w:val="28"/>
          <w:highlight w:val="none"/>
          <w:lang w:val="en-US" w:eastAsia="zh-CN" w:bidi="ar-SA"/>
        </w:rPr>
        <w:t>%。本指标满分为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“城市低保最高标准补助支出”指标：预期指标值为小于等于616元/人/个月，实际完成指标值为616元/人/个月，指标完成率为100%。本指标满分为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“集中孤儿生活费标准”指标：预期指标值</w:t>
      </w:r>
      <w:r>
        <w:rPr>
          <w:rFonts w:hint="eastAsia" w:ascii="仿宋_GB2312" w:cs="仿宋_GB2312"/>
          <w:color w:val="auto"/>
          <w:kern w:val="2"/>
          <w:sz w:val="28"/>
          <w:szCs w:val="28"/>
          <w:highlight w:val="none"/>
          <w:lang w:val="en-US" w:eastAsia="zh-CN" w:bidi="ar-SA"/>
        </w:rPr>
        <w:t>为</w:t>
      </w:r>
      <w:r>
        <w:rPr>
          <w:rFonts w:hint="eastAsia" w:ascii="仿宋_GB2312" w:hAnsi="Times New Roman" w:eastAsia="仿宋_GB2312" w:cs="仿宋_GB2312"/>
          <w:color w:val="auto"/>
          <w:kern w:val="2"/>
          <w:sz w:val="28"/>
          <w:szCs w:val="28"/>
          <w:highlight w:val="none"/>
          <w:lang w:val="en-US" w:eastAsia="zh-CN" w:bidi="ar-SA"/>
        </w:rPr>
        <w:t>1610元/人/次，实际完成指标值为1610元/人/次，指标完成率为100%。本指标满分为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“分散孤儿生活费标准”指标：预期指标值</w:t>
      </w:r>
      <w:r>
        <w:rPr>
          <w:rFonts w:hint="eastAsia" w:ascii="仿宋_GB2312" w:cs="仿宋_GB2312"/>
          <w:color w:val="auto"/>
          <w:kern w:val="2"/>
          <w:sz w:val="28"/>
          <w:szCs w:val="28"/>
          <w:highlight w:val="none"/>
          <w:lang w:val="en-US" w:eastAsia="zh-CN" w:bidi="ar-SA"/>
        </w:rPr>
        <w:t>为</w:t>
      </w:r>
      <w:r>
        <w:rPr>
          <w:rFonts w:hint="eastAsia" w:ascii="仿宋_GB2312" w:hAnsi="Times New Roman" w:eastAsia="仿宋_GB2312" w:cs="仿宋_GB2312"/>
          <w:color w:val="auto"/>
          <w:kern w:val="2"/>
          <w:sz w:val="28"/>
          <w:szCs w:val="28"/>
          <w:highlight w:val="none"/>
          <w:lang w:val="en-US" w:eastAsia="zh-CN" w:bidi="ar-SA"/>
        </w:rPr>
        <w:t>1150元/人/个月，实际完成指标值为1150元/人/次，指标完成率为100%。本指标满分为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eastAsia"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“特困集中供养人员基本生活补助标准”指标：预期指标值</w:t>
      </w:r>
      <w:r>
        <w:rPr>
          <w:rFonts w:hint="eastAsia" w:ascii="仿宋_GB2312" w:cs="仿宋_GB2312"/>
          <w:color w:val="auto"/>
          <w:kern w:val="2"/>
          <w:sz w:val="28"/>
          <w:szCs w:val="28"/>
          <w:highlight w:val="none"/>
          <w:lang w:val="en-US" w:eastAsia="zh-CN" w:bidi="ar-SA"/>
        </w:rPr>
        <w:t>为</w:t>
      </w:r>
      <w:r>
        <w:rPr>
          <w:rFonts w:hint="eastAsia" w:ascii="仿宋_GB2312" w:hAnsi="Times New Roman" w:eastAsia="仿宋_GB2312" w:cs="仿宋_GB2312"/>
          <w:color w:val="auto"/>
          <w:kern w:val="2"/>
          <w:sz w:val="28"/>
          <w:szCs w:val="28"/>
          <w:highlight w:val="none"/>
          <w:lang w:val="en-US" w:eastAsia="zh-CN" w:bidi="ar-SA"/>
        </w:rPr>
        <w:t>1035元/人/个月，实际完成指标值为1035元/人/个月，指标完成率为100%。本指标满分为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“特困分散分散人员基本生活补助标准”指标：预期指标值</w:t>
      </w:r>
      <w:r>
        <w:rPr>
          <w:rFonts w:hint="eastAsia" w:ascii="仿宋_GB2312" w:cs="仿宋_GB2312"/>
          <w:color w:val="auto"/>
          <w:kern w:val="2"/>
          <w:sz w:val="28"/>
          <w:szCs w:val="28"/>
          <w:highlight w:val="none"/>
          <w:lang w:val="en-US" w:eastAsia="zh-CN" w:bidi="ar-SA"/>
        </w:rPr>
        <w:t>为</w:t>
      </w:r>
      <w:r>
        <w:rPr>
          <w:rFonts w:hint="eastAsia" w:ascii="仿宋_GB2312" w:hAnsi="Times New Roman" w:eastAsia="仿宋_GB2312" w:cs="仿宋_GB2312"/>
          <w:color w:val="auto"/>
          <w:kern w:val="2"/>
          <w:sz w:val="28"/>
          <w:szCs w:val="28"/>
          <w:highlight w:val="none"/>
          <w:lang w:val="en-US" w:eastAsia="zh-CN" w:bidi="ar-SA"/>
        </w:rPr>
        <w:t>690元/人/个月，实际完成指标值为690元/人/个月，指标完成率为100%。本指标满分为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“其他临时救助支出”指标：预期指标值为小于等于1537980.4元，实际完成指标值为</w:t>
      </w:r>
      <w:r>
        <w:rPr>
          <w:rFonts w:hint="eastAsia" w:ascii="仿宋_GB2312" w:cs="仿宋_GB2312"/>
          <w:color w:val="auto"/>
          <w:kern w:val="2"/>
          <w:sz w:val="28"/>
          <w:szCs w:val="28"/>
          <w:highlight w:val="none"/>
          <w:lang w:val="en-US" w:eastAsia="zh-CN" w:bidi="ar-SA"/>
        </w:rPr>
        <w:t>693300</w:t>
      </w:r>
      <w:r>
        <w:rPr>
          <w:rFonts w:hint="eastAsia" w:ascii="仿宋_GB2312" w:hAnsi="Times New Roman" w:eastAsia="仿宋_GB2312" w:cs="仿宋_GB2312"/>
          <w:color w:val="auto"/>
          <w:kern w:val="2"/>
          <w:sz w:val="28"/>
          <w:szCs w:val="28"/>
          <w:highlight w:val="none"/>
          <w:lang w:val="en-US" w:eastAsia="zh-CN" w:bidi="ar-SA"/>
        </w:rPr>
        <w:t>元，指标完成率为</w:t>
      </w:r>
      <w:r>
        <w:rPr>
          <w:rFonts w:hint="eastAsia" w:ascii="仿宋_GB2312" w:cs="仿宋_GB2312"/>
          <w:color w:val="auto"/>
          <w:kern w:val="2"/>
          <w:sz w:val="28"/>
          <w:szCs w:val="28"/>
          <w:highlight w:val="none"/>
          <w:lang w:val="en-US" w:eastAsia="zh-CN" w:bidi="ar-SA"/>
        </w:rPr>
        <w:t>54.92</w:t>
      </w:r>
      <w:r>
        <w:rPr>
          <w:rFonts w:hint="eastAsia" w:ascii="仿宋_GB2312" w:hAnsi="Times New Roman" w:eastAsia="仿宋_GB2312" w:cs="仿宋_GB2312"/>
          <w:color w:val="auto"/>
          <w:kern w:val="2"/>
          <w:sz w:val="28"/>
          <w:szCs w:val="28"/>
          <w:highlight w:val="none"/>
          <w:lang w:val="en-US" w:eastAsia="zh-CN" w:bidi="ar-SA"/>
        </w:rPr>
        <w:t>%。</w:t>
      </w:r>
      <w:r>
        <w:rPr>
          <w:rFonts w:hint="eastAsia" w:ascii="仿宋_GB2312" w:cs="仿宋_GB2312"/>
          <w:color w:val="auto"/>
          <w:kern w:val="2"/>
          <w:sz w:val="28"/>
          <w:szCs w:val="28"/>
          <w:highlight w:val="none"/>
          <w:lang w:val="en-US" w:eastAsia="zh-CN" w:bidi="ar-SA"/>
        </w:rPr>
        <w:t>主要</w:t>
      </w:r>
      <w:r>
        <w:rPr>
          <w:rFonts w:hint="eastAsia" w:ascii="仿宋_GB2312" w:hAnsi="Times New Roman" w:eastAsia="仿宋_GB2312" w:cs="仿宋_GB2312"/>
          <w:color w:val="auto"/>
          <w:kern w:val="2"/>
          <w:sz w:val="28"/>
          <w:szCs w:val="28"/>
          <w:highlight w:val="none"/>
          <w:lang w:val="en-US" w:eastAsia="zh-CN" w:bidi="ar-SA"/>
        </w:rPr>
        <w:t>原因：根据实际情况支出，已做到应助尽助。改进措施：多种形式做好政策宣讲，提高政策知晓率。本指标满分为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0.54</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“特困供养全护理补助标准”指标：预期指标值</w:t>
      </w:r>
      <w:r>
        <w:rPr>
          <w:rFonts w:hint="eastAsia" w:ascii="仿宋_GB2312" w:cs="仿宋_GB2312"/>
          <w:color w:val="auto"/>
          <w:kern w:val="2"/>
          <w:sz w:val="28"/>
          <w:szCs w:val="28"/>
          <w:highlight w:val="none"/>
          <w:lang w:val="en-US" w:eastAsia="zh-CN" w:bidi="ar-SA"/>
        </w:rPr>
        <w:t>为</w:t>
      </w:r>
      <w:r>
        <w:rPr>
          <w:rFonts w:hint="eastAsia" w:ascii="仿宋_GB2312" w:hAnsi="Times New Roman" w:eastAsia="仿宋_GB2312" w:cs="仿宋_GB2312"/>
          <w:color w:val="auto"/>
          <w:kern w:val="2"/>
          <w:sz w:val="28"/>
          <w:szCs w:val="28"/>
          <w:highlight w:val="none"/>
          <w:lang w:val="en-US" w:eastAsia="zh-CN" w:bidi="ar-SA"/>
        </w:rPr>
        <w:t>1300元/人/月，实际完成指标值为1300元/人/月，指标完成率为100%。本指标满分为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default"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“特困供养半自理补助人数”指标：预期指标值</w:t>
      </w:r>
      <w:r>
        <w:rPr>
          <w:rFonts w:hint="eastAsia" w:ascii="仿宋_GB2312" w:cs="仿宋_GB2312"/>
          <w:color w:val="auto"/>
          <w:kern w:val="2"/>
          <w:sz w:val="28"/>
          <w:szCs w:val="28"/>
          <w:highlight w:val="none"/>
          <w:lang w:val="en-US" w:eastAsia="zh-CN" w:bidi="ar-SA"/>
        </w:rPr>
        <w:t>为</w:t>
      </w:r>
      <w:r>
        <w:rPr>
          <w:rFonts w:hint="eastAsia" w:ascii="仿宋_GB2312" w:hAnsi="Times New Roman" w:eastAsia="仿宋_GB2312" w:cs="仿宋_GB2312"/>
          <w:color w:val="auto"/>
          <w:kern w:val="2"/>
          <w:sz w:val="28"/>
          <w:szCs w:val="28"/>
          <w:highlight w:val="none"/>
          <w:lang w:val="en-US" w:eastAsia="zh-CN" w:bidi="ar-SA"/>
        </w:rPr>
        <w:t>400元/人/月，实际完成指标值为400元/人/月，指标完成率为100%。本指标满分为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bidi w:val="0"/>
        <w:rPr>
          <w:rFonts w:hint="eastAsia" w:ascii="仿宋_GB2312" w:hAnsi="Times New Roman" w:eastAsia="仿宋_GB2312" w:cs="仿宋_GB2312"/>
          <w:color w:val="auto"/>
          <w:kern w:val="2"/>
          <w:sz w:val="28"/>
          <w:szCs w:val="28"/>
          <w:highlight w:val="none"/>
          <w:lang w:val="en-US" w:eastAsia="zh-CN" w:bidi="ar-SA"/>
        </w:rPr>
      </w:pPr>
      <w:r>
        <w:rPr>
          <w:rFonts w:hint="eastAsia" w:ascii="仿宋_GB2312" w:hAnsi="Times New Roman" w:eastAsia="仿宋_GB2312" w:cs="仿宋_GB2312"/>
          <w:color w:val="auto"/>
          <w:kern w:val="2"/>
          <w:sz w:val="28"/>
          <w:szCs w:val="28"/>
          <w:highlight w:val="none"/>
          <w:lang w:val="en-US" w:eastAsia="zh-CN" w:bidi="ar-SA"/>
        </w:rPr>
        <w:t>“特困供养自理人员补助标准”指标：预期指标值</w:t>
      </w:r>
      <w:r>
        <w:rPr>
          <w:rFonts w:hint="eastAsia" w:ascii="仿宋_GB2312" w:cs="仿宋_GB2312"/>
          <w:color w:val="auto"/>
          <w:kern w:val="2"/>
          <w:sz w:val="28"/>
          <w:szCs w:val="28"/>
          <w:highlight w:val="none"/>
          <w:lang w:val="en-US" w:eastAsia="zh-CN" w:bidi="ar-SA"/>
        </w:rPr>
        <w:t>为</w:t>
      </w:r>
      <w:r>
        <w:rPr>
          <w:rFonts w:hint="eastAsia" w:ascii="仿宋_GB2312" w:hAnsi="Times New Roman" w:eastAsia="仿宋_GB2312" w:cs="仿宋_GB2312"/>
          <w:color w:val="auto"/>
          <w:kern w:val="2"/>
          <w:sz w:val="28"/>
          <w:szCs w:val="28"/>
          <w:highlight w:val="none"/>
          <w:lang w:val="en-US" w:eastAsia="zh-CN" w:bidi="ar-SA"/>
        </w:rPr>
        <w:t>200元/人/月，实际完成指标值为200元/人/月，指标完成率为100%。本指标满分为</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分，根据评分标准，该指标得</w:t>
      </w:r>
      <w:r>
        <w:rPr>
          <w:rFonts w:hint="eastAsia" w:ascii="仿宋_GB2312" w:hAnsi="仿宋_GB2312" w:cs="仿宋_GB2312"/>
          <w:color w:val="auto"/>
          <w:sz w:val="28"/>
          <w:szCs w:val="28"/>
          <w:highlight w:val="none"/>
          <w:lang w:val="en-US" w:eastAsia="zh-CN"/>
        </w:rPr>
        <w:t>1.2</w:t>
      </w:r>
      <w:r>
        <w:rPr>
          <w:rFonts w:hint="eastAsia" w:ascii="仿宋_GB2312" w:hAnsi="Times New Roman" w:eastAsia="仿宋_GB2312" w:cs="仿宋_GB2312"/>
          <w:color w:val="auto"/>
          <w:kern w:val="2"/>
          <w:sz w:val="28"/>
          <w:szCs w:val="28"/>
          <w:highlight w:val="none"/>
          <w:lang w:val="en-US" w:eastAsia="zh-CN" w:bidi="ar-SA"/>
        </w:rPr>
        <w:t>分。</w:t>
      </w:r>
    </w:p>
    <w:p>
      <w:pPr>
        <w:pStyle w:val="5"/>
        <w:bidi w:val="0"/>
        <w:rPr>
          <w:rFonts w:hint="default" w:ascii="仿宋_GB2312" w:hAnsi="仿宋_GB2312" w:cs="仿宋_GB2312"/>
          <w:b/>
          <w:bCs/>
          <w:color w:val="auto"/>
          <w:sz w:val="28"/>
          <w:szCs w:val="28"/>
          <w:highlight w:val="none"/>
          <w:lang w:val="en-US" w:eastAsia="zh-CN"/>
        </w:rPr>
      </w:pPr>
      <w:r>
        <w:rPr>
          <w:rFonts w:hint="default" w:ascii="仿宋_GB2312" w:hAnsi="仿宋_GB2312" w:cs="仿宋_GB2312"/>
          <w:b/>
          <w:bCs/>
          <w:color w:val="auto"/>
          <w:sz w:val="28"/>
          <w:szCs w:val="28"/>
          <w:highlight w:val="none"/>
          <w:lang w:val="en-US" w:eastAsia="zh-CN"/>
        </w:rPr>
        <w:t>2.社会成本指标完成情况分析</w:t>
      </w:r>
    </w:p>
    <w:p>
      <w:pPr>
        <w:pStyle w:val="2"/>
        <w:rPr>
          <w:rFonts w:hint="default"/>
          <w:lang w:val="en-US" w:eastAsia="zh-CN"/>
        </w:rPr>
      </w:pPr>
      <w:r>
        <w:rPr>
          <w:rFonts w:hint="default"/>
          <w:lang w:val="en-US" w:eastAsia="zh-CN"/>
        </w:rPr>
        <w:t>无</w:t>
      </w:r>
    </w:p>
    <w:p>
      <w:pPr>
        <w:pStyle w:val="5"/>
        <w:bidi w:val="0"/>
        <w:rPr>
          <w:rFonts w:hint="default" w:ascii="仿宋_GB2312" w:hAnsi="仿宋_GB2312" w:cs="仿宋_GB2312"/>
          <w:b/>
          <w:bCs/>
          <w:color w:val="auto"/>
          <w:sz w:val="28"/>
          <w:szCs w:val="28"/>
          <w:highlight w:val="none"/>
          <w:lang w:val="en-US" w:eastAsia="zh-CN"/>
        </w:rPr>
      </w:pPr>
      <w:r>
        <w:rPr>
          <w:rFonts w:hint="default" w:ascii="仿宋_GB2312" w:hAnsi="仿宋_GB2312" w:cs="仿宋_GB2312"/>
          <w:b/>
          <w:bCs/>
          <w:color w:val="auto"/>
          <w:sz w:val="28"/>
          <w:szCs w:val="28"/>
          <w:highlight w:val="none"/>
          <w:lang w:val="en-US" w:eastAsia="zh-CN"/>
        </w:rPr>
        <w:t>3.生态环境成本指标完成情况分析</w:t>
      </w:r>
    </w:p>
    <w:p>
      <w:pPr>
        <w:pStyle w:val="2"/>
        <w:rPr>
          <w:rFonts w:hint="default"/>
          <w:lang w:val="en-US" w:eastAsia="zh-CN"/>
        </w:rPr>
      </w:pPr>
      <w:r>
        <w:rPr>
          <w:rFonts w:hint="default"/>
          <w:lang w:val="en-US" w:eastAsia="zh-CN"/>
        </w:rPr>
        <w:t>无</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eastAsia="zh-CN"/>
        </w:rPr>
        <w:t>五</w:t>
      </w:r>
      <w:r>
        <w:rPr>
          <w:rFonts w:hint="eastAsia" w:ascii="仿宋_GB2312" w:hAnsi="仿宋_GB2312" w:cs="仿宋_GB2312"/>
          <w:color w:val="auto"/>
          <w:sz w:val="32"/>
          <w:highlight w:val="none"/>
        </w:rPr>
        <w:t>）项目效益情况</w:t>
      </w:r>
    </w:p>
    <w:p>
      <w:pPr>
        <w:bidi w:val="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项目效益类指标由</w:t>
      </w:r>
      <w:r>
        <w:rPr>
          <w:rFonts w:hint="eastAsia" w:cs="Times New Roman"/>
          <w:color w:val="auto"/>
          <w:highlight w:val="none"/>
          <w:lang w:val="en-US" w:eastAsia="zh-CN"/>
        </w:rPr>
        <w:t>2</w:t>
      </w:r>
      <w:r>
        <w:rPr>
          <w:rFonts w:hint="eastAsia" w:ascii="Times New Roman" w:hAnsi="Times New Roman" w:cs="Times New Roman"/>
          <w:color w:val="auto"/>
          <w:highlight w:val="none"/>
          <w:lang w:eastAsia="zh-CN"/>
        </w:rPr>
        <w:t>个二级指标和</w:t>
      </w:r>
      <w:r>
        <w:rPr>
          <w:rFonts w:hint="eastAsia" w:cs="Times New Roman"/>
          <w:color w:val="auto"/>
          <w:highlight w:val="none"/>
          <w:lang w:val="en-US" w:eastAsia="zh-CN"/>
        </w:rPr>
        <w:t>4</w:t>
      </w:r>
      <w:r>
        <w:rPr>
          <w:rFonts w:hint="eastAsia" w:ascii="Times New Roman" w:hAnsi="Times New Roman" w:cs="Times New Roman"/>
          <w:color w:val="auto"/>
          <w:highlight w:val="none"/>
          <w:lang w:eastAsia="zh-CN"/>
        </w:rPr>
        <w:t>个三级指标构成，权重分为</w:t>
      </w:r>
      <w:r>
        <w:rPr>
          <w:rFonts w:hint="eastAsia" w:cs="Times New Roman"/>
          <w:color w:val="auto"/>
          <w:highlight w:val="none"/>
          <w:lang w:val="en-US" w:eastAsia="zh-CN"/>
        </w:rPr>
        <w:t>24</w:t>
      </w:r>
      <w:r>
        <w:rPr>
          <w:rFonts w:hint="eastAsia" w:ascii="Times New Roman" w:hAnsi="Times New Roman" w:cs="Times New Roman"/>
          <w:color w:val="auto"/>
          <w:highlight w:val="none"/>
          <w:lang w:eastAsia="zh-CN"/>
        </w:rPr>
        <w:t>分，实际得分</w:t>
      </w:r>
      <w:r>
        <w:rPr>
          <w:rFonts w:hint="eastAsia" w:cs="Times New Roman"/>
          <w:color w:val="auto"/>
          <w:highlight w:val="none"/>
          <w:lang w:val="en-US" w:eastAsia="zh-CN"/>
        </w:rPr>
        <w:t>24</w:t>
      </w:r>
      <w:r>
        <w:rPr>
          <w:rFonts w:hint="eastAsia" w:ascii="Times New Roman" w:hAnsi="Times New Roman" w:cs="Times New Roman"/>
          <w:color w:val="auto"/>
          <w:highlight w:val="none"/>
          <w:lang w:eastAsia="zh-CN"/>
        </w:rPr>
        <w:t>分，得分率为</w:t>
      </w:r>
      <w:r>
        <w:rPr>
          <w:rFonts w:hint="eastAsia" w:ascii="Times New Roman" w:hAnsi="Times New Roman" w:cs="Times New Roman"/>
          <w:color w:val="auto"/>
          <w:highlight w:val="none"/>
          <w:lang w:val="en-US" w:eastAsia="zh-CN"/>
        </w:rPr>
        <w:t>100</w:t>
      </w:r>
      <w:r>
        <w:rPr>
          <w:rFonts w:hint="eastAsia" w:ascii="Times New Roman" w:hAnsi="Times New Roman" w:cs="Times New Roman"/>
          <w:color w:val="auto"/>
          <w:highlight w:val="none"/>
          <w:lang w:eastAsia="zh-CN"/>
        </w:rPr>
        <w:t>%。</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1.经济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pStyle w:val="5"/>
        <w:bidi w:val="0"/>
        <w:rPr>
          <w:rFonts w:hint="eastAsia" w:cs="仿宋_GB2312"/>
          <w:b/>
          <w:bCs/>
          <w:color w:val="auto"/>
          <w:sz w:val="28"/>
          <w:szCs w:val="28"/>
          <w:highlight w:val="none"/>
          <w:lang w:val="en-US" w:eastAsia="zh-CN"/>
        </w:rPr>
      </w:pPr>
      <w:r>
        <w:rPr>
          <w:rFonts w:hint="eastAsia" w:cs="仿宋_GB2312"/>
          <w:b/>
          <w:bCs/>
          <w:color w:val="auto"/>
          <w:sz w:val="28"/>
          <w:szCs w:val="28"/>
          <w:highlight w:val="none"/>
          <w:lang w:val="en-US" w:eastAsia="zh-CN"/>
        </w:rPr>
        <w:t>无</w:t>
      </w:r>
    </w:p>
    <w:p>
      <w:pPr>
        <w:pStyle w:val="5"/>
        <w:bidi w:val="0"/>
        <w:rPr>
          <w:rFonts w:hint="eastAsia" w:ascii="仿宋_GB2312" w:hAnsi="仿宋_GB2312" w:cs="仿宋_GB2312"/>
          <w:color w:val="auto"/>
          <w:sz w:val="28"/>
          <w:szCs w:val="28"/>
          <w:highlight w:val="none"/>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default"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“保障困难群众基本生活需求”指标：预期指标值为“有效保障”，实际完成指标值为“达成年度指标”，指标完成率为100%。本指标满分为8分，根据评分标准，该指标得8分。</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“帮助查明身份滞留流浪乞讨人员返乡率”指标：预期指标值为＝100%，实际完成指标值为100%，指标完成率为100%。本指标满分为8分，根据评分标准，该指标得8分。</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pStyle w:val="5"/>
        <w:bidi w:val="0"/>
        <w:rPr>
          <w:rFonts w:hint="eastAsia"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eastAsia="仿宋_GB2312" w:cs="仿宋_GB2312"/>
          <w:b w:val="0"/>
          <w:bCs w:val="0"/>
          <w:color w:val="auto"/>
          <w:kern w:val="2"/>
          <w:sz w:val="28"/>
          <w:szCs w:val="28"/>
          <w:highlight w:val="none"/>
          <w:lang w:val="en-US" w:eastAsia="zh-CN" w:bidi="ar-SA"/>
        </w:rPr>
        <w:t>无</w:t>
      </w:r>
    </w:p>
    <w:p>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“救助对象满意度”指标：预期指标值为大于等于90%，实际完成指标值为95%，指标完成率为100%。本指标满分为4分，根据评分标准，该指标得4分。</w:t>
      </w:r>
      <w:bookmarkEnd w:id="15"/>
    </w:p>
    <w:p>
      <w:pPr>
        <w:bidi w:val="0"/>
        <w:rPr>
          <w:rFonts w:hint="eastAsia"/>
          <w:color w:val="auto"/>
          <w:highlight w:val="none"/>
        </w:rPr>
      </w:pPr>
      <w:r>
        <w:rPr>
          <w:rFonts w:hint="eastAsia" w:ascii="仿宋_GB2312" w:hAnsi="仿宋_GB2312" w:cs="仿宋_GB2312"/>
          <w:color w:val="auto"/>
          <w:sz w:val="28"/>
          <w:szCs w:val="28"/>
          <w:highlight w:val="none"/>
          <w:lang w:val="en-US" w:eastAsia="zh-CN"/>
        </w:rPr>
        <w:t>“救助补助政策群众知晓率”指标：预期指标值为大于等于85%，实际完成指标值为100%，指标完成率为100%。本指标满分为4分，根据评分标准，该指标得4分。</w:t>
      </w:r>
    </w:p>
    <w:p>
      <w:pPr>
        <w:pStyle w:val="3"/>
        <w:ind w:left="638" w:leftChars="228" w:firstLine="0" w:firstLineChars="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bidi w:val="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该项目全年预算资金</w:t>
      </w:r>
      <w:r>
        <w:rPr>
          <w:rFonts w:hint="eastAsia" w:cs="Times New Roman"/>
          <w:color w:val="auto"/>
          <w:highlight w:val="none"/>
          <w:lang w:val="en-US" w:eastAsia="zh-CN"/>
        </w:rPr>
        <w:t>1835</w:t>
      </w:r>
      <w:r>
        <w:rPr>
          <w:rFonts w:hint="eastAsia" w:ascii="Times New Roman" w:hAnsi="Times New Roman" w:cs="Times New Roman"/>
          <w:color w:val="auto"/>
          <w:highlight w:val="none"/>
          <w:lang w:val="en-US" w:eastAsia="zh-CN"/>
        </w:rPr>
        <w:t>万元，到位资金</w:t>
      </w:r>
      <w:r>
        <w:rPr>
          <w:rFonts w:hint="eastAsia" w:cs="Times New Roman"/>
          <w:color w:val="auto"/>
          <w:highlight w:val="none"/>
          <w:lang w:val="en-US" w:eastAsia="zh-CN"/>
        </w:rPr>
        <w:t>1835</w:t>
      </w:r>
      <w:r>
        <w:rPr>
          <w:rFonts w:hint="eastAsia" w:ascii="Times New Roman" w:hAnsi="Times New Roman" w:cs="Times New Roman"/>
          <w:color w:val="auto"/>
          <w:highlight w:val="none"/>
          <w:lang w:val="en-US" w:eastAsia="zh-CN"/>
        </w:rPr>
        <w:t>万元，实际支出1723.86万元，预算执行率为</w:t>
      </w:r>
      <w:r>
        <w:rPr>
          <w:rFonts w:hint="eastAsia" w:cs="Times New Roman"/>
          <w:color w:val="auto"/>
          <w:highlight w:val="none"/>
          <w:lang w:val="en-US" w:eastAsia="zh-CN"/>
        </w:rPr>
        <w:t>93.94</w:t>
      </w:r>
      <w:r>
        <w:rPr>
          <w:rFonts w:hint="eastAsia" w:ascii="Times New Roman" w:hAnsi="Times New Roman" w:cs="Times New Roman"/>
          <w:color w:val="auto"/>
          <w:highlight w:val="none"/>
          <w:lang w:val="en-US" w:eastAsia="zh-CN"/>
        </w:rPr>
        <w:t>%，项目绩效指标总体完成率为</w:t>
      </w:r>
      <w:r>
        <w:rPr>
          <w:rFonts w:hint="eastAsia" w:cs="Times New Roman"/>
          <w:color w:val="auto"/>
          <w:highlight w:val="none"/>
          <w:lang w:val="en-US" w:eastAsia="zh-CN"/>
        </w:rPr>
        <w:t>99.55</w:t>
      </w:r>
      <w:r>
        <w:rPr>
          <w:rFonts w:hint="eastAsia" w:ascii="Times New Roman" w:hAnsi="Times New Roman" w:cs="Times New Roman"/>
          <w:color w:val="auto"/>
          <w:highlight w:val="none"/>
          <w:lang w:val="en-US" w:eastAsia="zh-CN"/>
        </w:rPr>
        <w:t>%，项目预算执行进度与绩效指标完成进度</w:t>
      </w:r>
      <w:r>
        <w:rPr>
          <w:rFonts w:hint="eastAsia" w:cs="Times New Roman"/>
          <w:color w:val="auto"/>
          <w:highlight w:val="none"/>
          <w:lang w:val="en-US" w:eastAsia="zh-CN"/>
        </w:rPr>
        <w:t>偏离率为5.61%</w:t>
      </w:r>
      <w:r>
        <w:rPr>
          <w:rFonts w:hint="eastAsia" w:ascii="Times New Roman" w:hAnsi="Times New Roman" w:cs="Times New Roman"/>
          <w:color w:val="auto"/>
          <w:highlight w:val="none"/>
          <w:lang w:val="en-US" w:eastAsia="zh-CN"/>
        </w:rPr>
        <w:t>。</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5"/>
        </w:numPr>
        <w:ind w:firstLine="643"/>
        <w:rPr>
          <w:color w:val="auto"/>
          <w:highlight w:val="none"/>
        </w:rPr>
      </w:pPr>
      <w:bookmarkStart w:id="16" w:name="_Toc1921"/>
      <w:bookmarkStart w:id="17" w:name="_Toc28290"/>
      <w:r>
        <w:rPr>
          <w:rFonts w:hint="eastAsia"/>
          <w:color w:val="auto"/>
          <w:highlight w:val="none"/>
        </w:rPr>
        <w:t>主要经验及做法</w:t>
      </w:r>
    </w:p>
    <w:p>
      <w:pPr>
        <w:pStyle w:val="7"/>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Times New Roman" w:hAnsi="Times New Roman" w:eastAsia="仿宋_GB2312" w:cs="Times New Roman"/>
          <w:color w:val="auto"/>
          <w:kern w:val="2"/>
          <w:sz w:val="28"/>
          <w:szCs w:val="24"/>
          <w:highlight w:val="none"/>
          <w:lang w:val="en-US" w:eastAsia="zh-CN" w:bidi="ar-SA"/>
        </w:rPr>
      </w:pPr>
      <w:r>
        <w:rPr>
          <w:rFonts w:hint="eastAsia" w:ascii="Times New Roman" w:hAnsi="Times New Roman" w:eastAsia="仿宋_GB2312" w:cs="Times New Roman"/>
          <w:color w:val="auto"/>
          <w:kern w:val="2"/>
          <w:sz w:val="28"/>
          <w:szCs w:val="24"/>
          <w:highlight w:val="none"/>
          <w:lang w:val="en-US" w:eastAsia="zh-CN" w:bidi="ar-SA"/>
        </w:rPr>
        <w:t>向符合条件的城乡低保户1962户3465人，特困供养人员1</w:t>
      </w:r>
      <w:r>
        <w:rPr>
          <w:rFonts w:hint="eastAsia" w:cs="Times New Roman"/>
          <w:color w:val="auto"/>
          <w:kern w:val="2"/>
          <w:sz w:val="28"/>
          <w:szCs w:val="24"/>
          <w:highlight w:val="none"/>
          <w:lang w:val="en-US" w:eastAsia="zh-CN" w:bidi="ar-SA"/>
        </w:rPr>
        <w:t>5</w:t>
      </w:r>
      <w:r>
        <w:rPr>
          <w:rFonts w:hint="eastAsia" w:ascii="Times New Roman" w:hAnsi="Times New Roman" w:eastAsia="仿宋_GB2312" w:cs="Times New Roman"/>
          <w:color w:val="auto"/>
          <w:kern w:val="2"/>
          <w:sz w:val="28"/>
          <w:szCs w:val="24"/>
          <w:highlight w:val="none"/>
          <w:lang w:val="en-US" w:eastAsia="zh-CN" w:bidi="ar-SA"/>
        </w:rPr>
        <w:t>3人，孤儿21人，对因病、因灾、因意外事件、因疫情影响以及刚性支出较大或家庭收入骤减造成基本生活出现暂时性生活困难的家庭和个人足额发放救助金。项目按进度执行，完成质量按照预期确保了对城乡低保人员进行差额补助，为特困人员、临时救助人员、流浪乞讨人员、孤儿发放基本生活补助，保障困难群众基本生活需求。</w:t>
      </w:r>
    </w:p>
    <w:bookmarkEnd w:id="16"/>
    <w:bookmarkEnd w:id="17"/>
    <w:p>
      <w:pPr>
        <w:pStyle w:val="4"/>
        <w:numPr>
          <w:ilvl w:val="0"/>
          <w:numId w:val="5"/>
        </w:numPr>
        <w:ind w:firstLine="643"/>
        <w:rPr>
          <w:color w:val="auto"/>
          <w:highlight w:val="none"/>
        </w:rPr>
      </w:pPr>
      <w:r>
        <w:rPr>
          <w:rFonts w:hint="eastAsia"/>
          <w:color w:val="auto"/>
          <w:highlight w:val="none"/>
        </w:rPr>
        <w:t>存在的问题及原因分析</w:t>
      </w:r>
    </w:p>
    <w:p>
      <w:pPr>
        <w:pStyle w:val="3"/>
        <w:ind w:firstLine="640"/>
        <w:rPr>
          <w:rFonts w:hint="default" w:eastAsia="仿宋_GB2312" w:cs="Times New Roman"/>
          <w:color w:val="auto"/>
          <w:kern w:val="2"/>
          <w:sz w:val="28"/>
          <w:szCs w:val="24"/>
          <w:highlight w:val="none"/>
          <w:lang w:val="en-US" w:eastAsia="zh-CN" w:bidi="ar-SA"/>
        </w:rPr>
      </w:pPr>
      <w:r>
        <w:rPr>
          <w:rFonts w:hint="eastAsia" w:eastAsia="仿宋_GB2312" w:cs="Times New Roman"/>
          <w:b/>
          <w:bCs/>
          <w:color w:val="auto"/>
          <w:kern w:val="2"/>
          <w:sz w:val="28"/>
          <w:szCs w:val="24"/>
          <w:highlight w:val="none"/>
          <w:lang w:val="en-US" w:eastAsia="zh-CN" w:bidi="ar-SA"/>
        </w:rPr>
        <w:t>存在问题：1、</w:t>
      </w:r>
      <w:r>
        <w:rPr>
          <w:rFonts w:hint="eastAsia" w:ascii="Times New Roman" w:hAnsi="Times New Roman" w:eastAsia="仿宋_GB2312" w:cs="Times New Roman"/>
          <w:color w:val="auto"/>
          <w:kern w:val="2"/>
          <w:sz w:val="28"/>
          <w:szCs w:val="24"/>
          <w:highlight w:val="none"/>
          <w:lang w:val="en-US" w:eastAsia="zh-CN" w:bidi="ar-SA"/>
        </w:rPr>
        <w:t>部分</w:t>
      </w:r>
      <w:r>
        <w:rPr>
          <w:rFonts w:hint="eastAsia" w:eastAsia="仿宋_GB2312" w:cs="Times New Roman"/>
          <w:color w:val="auto"/>
          <w:kern w:val="2"/>
          <w:sz w:val="28"/>
          <w:szCs w:val="24"/>
          <w:highlight w:val="none"/>
          <w:lang w:val="en-US" w:eastAsia="zh-CN" w:bidi="ar-SA"/>
        </w:rPr>
        <w:t>预算</w:t>
      </w:r>
      <w:r>
        <w:rPr>
          <w:rFonts w:hint="eastAsia" w:ascii="Times New Roman" w:hAnsi="Times New Roman" w:eastAsia="仿宋_GB2312" w:cs="Times New Roman"/>
          <w:color w:val="auto"/>
          <w:kern w:val="2"/>
          <w:sz w:val="28"/>
          <w:szCs w:val="24"/>
          <w:highlight w:val="none"/>
          <w:lang w:val="en-US" w:eastAsia="zh-CN" w:bidi="ar-SA"/>
        </w:rPr>
        <w:t>绩效管理</w:t>
      </w:r>
      <w:r>
        <w:rPr>
          <w:rFonts w:hint="eastAsia" w:eastAsia="仿宋_GB2312" w:cs="Times New Roman"/>
          <w:color w:val="auto"/>
          <w:kern w:val="2"/>
          <w:sz w:val="28"/>
          <w:szCs w:val="24"/>
          <w:highlight w:val="none"/>
          <w:lang w:val="en-US" w:eastAsia="zh-CN" w:bidi="ar-SA"/>
        </w:rPr>
        <w:t>工作开展不到位，预算绩效管理意识有待提高。主要体现在绩效指标设置不完整、部分绩效指标量化程度不高，一是绩效指标编制不完整；二是个别绩效指标量化程度不高，可考核行不强。2、该项目在实施过程中，因为相关文件要求，导致项目资金支付方向与年初设置的成本指标存在偏差，单位未及时根据文件要求对预算支出方向进行调整，未及时与财政部门沟通调整绩效目标表。</w:t>
      </w:r>
    </w:p>
    <w:p>
      <w:pPr>
        <w:rPr>
          <w:rFonts w:hint="default" w:ascii="Times New Roman" w:hAnsi="Times New Roman" w:eastAsia="仿宋_GB2312" w:cs="Times New Roman"/>
          <w:b/>
          <w:bCs/>
          <w:color w:val="auto"/>
          <w:kern w:val="2"/>
          <w:sz w:val="28"/>
          <w:szCs w:val="24"/>
          <w:highlight w:val="none"/>
          <w:lang w:val="en-US" w:eastAsia="zh-CN" w:bidi="ar-SA"/>
        </w:rPr>
      </w:pPr>
      <w:r>
        <w:rPr>
          <w:rFonts w:hint="eastAsia" w:ascii="Times New Roman" w:hAnsi="Times New Roman" w:eastAsia="仿宋_GB2312" w:cs="Times New Roman"/>
          <w:b/>
          <w:bCs/>
          <w:color w:val="auto"/>
          <w:kern w:val="2"/>
          <w:sz w:val="28"/>
          <w:szCs w:val="24"/>
          <w:highlight w:val="none"/>
          <w:lang w:val="en-US" w:eastAsia="zh-CN" w:bidi="ar-SA"/>
        </w:rPr>
        <w:t>原因分析：</w:t>
      </w:r>
      <w:r>
        <w:rPr>
          <w:rFonts w:hint="eastAsia" w:ascii="Times New Roman" w:hAnsi="Times New Roman" w:eastAsia="仿宋_GB2312" w:cs="Times New Roman"/>
          <w:color w:val="auto"/>
          <w:kern w:val="2"/>
          <w:sz w:val="28"/>
          <w:szCs w:val="24"/>
          <w:highlight w:val="none"/>
          <w:lang w:val="en-US" w:eastAsia="zh-CN" w:bidi="ar-SA"/>
        </w:rPr>
        <w:t>一是</w:t>
      </w:r>
      <w:r>
        <w:rPr>
          <w:rFonts w:hint="eastAsia" w:cs="Times New Roman"/>
          <w:color w:val="auto"/>
          <w:kern w:val="2"/>
          <w:sz w:val="28"/>
          <w:szCs w:val="24"/>
          <w:highlight w:val="none"/>
          <w:lang w:val="en-US" w:eastAsia="zh-CN" w:bidi="ar-SA"/>
        </w:rPr>
        <w:t>部门绩效管理理念还未深入，预算绩效管理主体意识不强，财政事务片面的认为全部是财务工作；二是部门内部协调机制不完整，各相关业务科室配合工作不积极，项目绩效评价完全由财务人员负责，造成指标设置不合理。</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pStyle w:val="3"/>
        <w:ind w:firstLine="640"/>
        <w:rPr>
          <w:rFonts w:hint="eastAsia" w:eastAsia="仿宋_GB2312" w:cs="Times New Roman"/>
          <w:color w:val="auto"/>
          <w:kern w:val="2"/>
          <w:sz w:val="28"/>
          <w:szCs w:val="24"/>
          <w:highlight w:val="none"/>
          <w:lang w:val="en-US" w:eastAsia="zh-CN" w:bidi="ar-SA"/>
        </w:rPr>
      </w:pPr>
      <w:r>
        <w:rPr>
          <w:rFonts w:hint="eastAsia" w:eastAsia="仿宋_GB2312" w:cs="Times New Roman"/>
          <w:color w:val="auto"/>
          <w:kern w:val="2"/>
          <w:sz w:val="28"/>
          <w:szCs w:val="24"/>
          <w:highlight w:val="none"/>
          <w:lang w:val="en-US" w:eastAsia="zh-CN" w:bidi="ar-SA"/>
        </w:rPr>
        <w:t>一是业务科室根据项目实施所具备、所需要的资金、数量、预期产出及效果编制年度绩效目标。根据年度主要重点工作内容，进一步完善、提升绩效指标设置能力，强化全过程绩效管理，将绩效管理贯穿于项目实施的每一个环节，及时发现并纠正绩效管理过程中存在的问题，提高工作效率。</w:t>
      </w:r>
    </w:p>
    <w:p>
      <w:pPr>
        <w:rPr>
          <w:rFonts w:hint="eastAsia" w:cs="Times New Roman"/>
          <w:color w:val="auto"/>
          <w:kern w:val="2"/>
          <w:sz w:val="28"/>
          <w:szCs w:val="24"/>
          <w:highlight w:val="none"/>
          <w:lang w:val="en-US" w:eastAsia="zh-CN" w:bidi="ar-SA"/>
        </w:rPr>
      </w:pPr>
      <w:r>
        <w:rPr>
          <w:rFonts w:hint="eastAsia" w:cs="Times New Roman"/>
          <w:color w:val="auto"/>
          <w:kern w:val="2"/>
          <w:sz w:val="28"/>
          <w:szCs w:val="24"/>
          <w:highlight w:val="none"/>
          <w:lang w:val="en-US" w:eastAsia="zh-CN" w:bidi="ar-SA"/>
        </w:rPr>
        <w:t>二是编制完整、量化可考核的绩效指标。根据编制的绩效目标梳理绩效指标，对绩效指标进行细化、分解，全面反映绩效目标。</w:t>
      </w:r>
    </w:p>
    <w:p>
      <w:pPr>
        <w:pStyle w:val="2"/>
        <w:rPr>
          <w:rFonts w:hint="default"/>
          <w:lang w:val="en-US" w:eastAsia="zh-CN"/>
        </w:rPr>
      </w:pPr>
      <w:r>
        <w:rPr>
          <w:rFonts w:hint="eastAsia"/>
          <w:lang w:val="en-US" w:eastAsia="zh-CN"/>
        </w:rPr>
        <w:t>三是</w:t>
      </w:r>
      <w:r>
        <w:rPr>
          <w:rFonts w:hint="default"/>
          <w:lang w:val="en-US" w:eastAsia="zh-CN"/>
        </w:rPr>
        <w:t>通过定期监控，及时对预算金额或项目内容发生重大变化的情况与财政部门进行沟通，完备目标调整手续，有效提高资金使用效益和项目目标的完成率。</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27519D"/>
    <w:multiLevelType w:val="singleLevel"/>
    <w:tmpl w:val="C227519D"/>
    <w:lvl w:ilvl="0" w:tentative="0">
      <w:start w:val="1"/>
      <w:numFmt w:val="decimalEnclosedCircleChinese"/>
      <w:suff w:val="nothing"/>
      <w:lvlText w:val="%1　"/>
      <w:lvlJc w:val="left"/>
      <w:pPr>
        <w:ind w:left="0" w:firstLine="400"/>
      </w:pPr>
      <w:rPr>
        <w:rFonts w:hint="eastAsia"/>
      </w:rPr>
    </w:lvl>
  </w:abstractNum>
  <w:abstractNum w:abstractNumId="1">
    <w:nsid w:val="F8898986"/>
    <w:multiLevelType w:val="singleLevel"/>
    <w:tmpl w:val="F8898986"/>
    <w:lvl w:ilvl="0" w:tentative="0">
      <w:start w:val="1"/>
      <w:numFmt w:val="decimalEnclosedCircleChinese"/>
      <w:suff w:val="nothing"/>
      <w:lvlText w:val="%1　"/>
      <w:lvlJc w:val="left"/>
      <w:pPr>
        <w:ind w:left="0" w:firstLine="400"/>
      </w:pPr>
      <w:rPr>
        <w:rFonts w:hint="eastAsia"/>
      </w:r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jNmQwYmY2ZDNmMGQ4OTRmMjc4YWNmNmEyOWI1NTIifQ=="/>
    <w:docVar w:name="KSO_WPS_MARK_KEY" w:val="d7f7c5e3-a303-4834-9b6a-365000aac8ce"/>
  </w:docVars>
  <w:rsids>
    <w:rsidRoot w:val="00000000"/>
    <w:rsid w:val="02AD19E8"/>
    <w:rsid w:val="037906C3"/>
    <w:rsid w:val="04B416DF"/>
    <w:rsid w:val="093C149B"/>
    <w:rsid w:val="0A452BE8"/>
    <w:rsid w:val="0BC973A3"/>
    <w:rsid w:val="0C591403"/>
    <w:rsid w:val="0D3125ED"/>
    <w:rsid w:val="11590B4C"/>
    <w:rsid w:val="12EA76DA"/>
    <w:rsid w:val="13872068"/>
    <w:rsid w:val="14347CA5"/>
    <w:rsid w:val="14415743"/>
    <w:rsid w:val="14646C0A"/>
    <w:rsid w:val="151378BC"/>
    <w:rsid w:val="179915C7"/>
    <w:rsid w:val="17B35DB7"/>
    <w:rsid w:val="17EA0A12"/>
    <w:rsid w:val="181E2E84"/>
    <w:rsid w:val="188D446C"/>
    <w:rsid w:val="19313AE7"/>
    <w:rsid w:val="19702B16"/>
    <w:rsid w:val="19DA11B0"/>
    <w:rsid w:val="1A622524"/>
    <w:rsid w:val="1C092F3E"/>
    <w:rsid w:val="1F1978C3"/>
    <w:rsid w:val="1FCF126D"/>
    <w:rsid w:val="24040478"/>
    <w:rsid w:val="28290641"/>
    <w:rsid w:val="284A17C7"/>
    <w:rsid w:val="28D754DC"/>
    <w:rsid w:val="2A040F6C"/>
    <w:rsid w:val="2D1050E9"/>
    <w:rsid w:val="2D7A0E60"/>
    <w:rsid w:val="2D7A35FD"/>
    <w:rsid w:val="2EAD69B9"/>
    <w:rsid w:val="355E38DF"/>
    <w:rsid w:val="35B16284"/>
    <w:rsid w:val="35C91001"/>
    <w:rsid w:val="36306C30"/>
    <w:rsid w:val="39330366"/>
    <w:rsid w:val="39E410E3"/>
    <w:rsid w:val="3BA32E1A"/>
    <w:rsid w:val="3C98785C"/>
    <w:rsid w:val="3DE34B0E"/>
    <w:rsid w:val="3EE7399D"/>
    <w:rsid w:val="3F88432E"/>
    <w:rsid w:val="3FCF0960"/>
    <w:rsid w:val="3FDD1B3D"/>
    <w:rsid w:val="438B4E71"/>
    <w:rsid w:val="4E9523FE"/>
    <w:rsid w:val="4FA938E3"/>
    <w:rsid w:val="4FC27AF8"/>
    <w:rsid w:val="5085052A"/>
    <w:rsid w:val="50F52820"/>
    <w:rsid w:val="522D6411"/>
    <w:rsid w:val="52EE43D8"/>
    <w:rsid w:val="53A86A4F"/>
    <w:rsid w:val="55821CB6"/>
    <w:rsid w:val="55C220B3"/>
    <w:rsid w:val="58A40196"/>
    <w:rsid w:val="59956AA5"/>
    <w:rsid w:val="5BBC3706"/>
    <w:rsid w:val="5CB73A03"/>
    <w:rsid w:val="6127231E"/>
    <w:rsid w:val="61E86228"/>
    <w:rsid w:val="643C5726"/>
    <w:rsid w:val="64A45811"/>
    <w:rsid w:val="663473FA"/>
    <w:rsid w:val="665A30C9"/>
    <w:rsid w:val="67D61D73"/>
    <w:rsid w:val="68A511AF"/>
    <w:rsid w:val="6931512E"/>
    <w:rsid w:val="69634CE9"/>
    <w:rsid w:val="6C5F2A1F"/>
    <w:rsid w:val="6C783286"/>
    <w:rsid w:val="6D5B5D83"/>
    <w:rsid w:val="6DB004C9"/>
    <w:rsid w:val="6E0E1093"/>
    <w:rsid w:val="6E825D78"/>
    <w:rsid w:val="6FF26926"/>
    <w:rsid w:val="71F16D63"/>
    <w:rsid w:val="71F85AE6"/>
    <w:rsid w:val="7AC07EF8"/>
    <w:rsid w:val="7B3E0E4E"/>
    <w:rsid w:val="7B893143"/>
    <w:rsid w:val="7E9C0020"/>
    <w:rsid w:val="7FAA75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12427</Words>
  <Characters>13377</Characters>
  <Lines>0</Lines>
  <Paragraphs>0</Paragraphs>
  <TotalTime>10</TotalTime>
  <ScaleCrop>false</ScaleCrop>
  <LinksUpToDate>false</LinksUpToDate>
  <CharactersWithSpaces>13380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2024-08-20T02:42:55Z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